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晋安区象园街道乐园社区更新(完整社区)闽台合作“城建城创”策划咨询设计陪护式服务项目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CGXM-2026-350111-00068[2026]00024</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[350111]FJSXY[CS]2026001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福州市晋安区象园街道办事处</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福建省贤阅项目管理有限公司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2026年02月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福州市晋安区象园街道办事处</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晋安区象园街道乐园社区更新(完整社区)闽台合作“城建城创”策划咨询设计陪护式服务项目</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福建省贤阅项目管理有限公司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晋安区象园街道乐园社区更新(完整社区)闽台合作“城建城创”策划咨询设计陪护式服务项目</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CGXM-2026-350111-00068[2026]00024</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[350111]FJSXY[CS]2026001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610,000.00</w:t>
      </w:r>
    </w:p>
    <w:p>
      <w:pPr>
        <w:pStyle w:val="null3"/>
        <w:jc w:val="left"/>
      </w:pPr>
      <w:r>
        <w:rPr>
          <w:rFonts w:ascii="仿宋_GB2312" w:hAnsi="仿宋_GB2312" w:cs="仿宋_GB2312" w:eastAsia="仿宋_GB2312"/>
        </w:rPr>
        <w:t>采购包最高限价（元）: 610,000.00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晋安区象园街道乐园社区更新(完整社区)闽台合作“城建城创”策划咨询设计陪护式服务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610,000.00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晋安区象园街道乐园社区更新(完整社区)闽台合作“城建城创”策划咨询设计陪护式服务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晋安区象园街道乐园社区更新(完整社区)闽台合作“城建城创”策划咨询设计陪护式服务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晋安区象园街道乐园社区更新(完整社区)闽台合作“城建城创”策划咨询设计陪护式服务</w:t>
            </w:r>
          </w:p>
        </w:tc>
        <w:tc>
          <w:tcPr>
            <w:tcW w:type="dxa" w:w="2076"/>
          </w:tcPr>
          <w:p>
            <w:pPr>
              <w:pStyle w:val="null3"/>
              <w:jc w:val="left"/>
            </w:pPr>
            <w:r>
              <w:rPr>
                <w:rFonts w:ascii="仿宋_GB2312" w:hAnsi="仿宋_GB2312" w:cs="仿宋_GB2312" w:eastAsia="仿宋_GB2312"/>
              </w:rPr>
              <w:t>晋安区象园街道乐园社区更新(完整社区)闽台合作“城建城创”策划咨询设计陪护式服务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610,000.00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项目专门面向小微企业采购，小微企业参与磋商的应按以下要求提供相关证明材料：1、供应商提供的货物、服务或工程应符合《政府采购促进中小企业发展管理办法》（财库〔2020〕46号）第四条规定的情形，且应当提供《政府采购促进中小企业发展管理办法》（财库〔2020〕46号）规定的《中小企业声明函》。2、供应商为监狱企业的视同小型和微型企业，可不提供《中小企业声明函》，但应当提供由省级以上监狱管理局、戒毒管理局（含新疆生产建设兵团）出具的属于监狱企业的证明文件。3、供应商为残疾人福利性单位的视同小型、微型企业，可不提供《中小企业声明函》，但应当提供《残疾人福利性单位声明函》。本项目属于服务类采购项目，采购标的对应的中小企业划分标准所属行业为其他未列明行业。</w:t>
            </w:r>
          </w:p>
        </w:tc>
      </w:tr>
      <w:tr>
        <w:tc>
          <w:tcPr>
            <w:tcW w:type="dxa" w:w="3692"/>
          </w:tcPr>
          <w:p>
            <w:pPr>
              <w:pStyle w:val="null3"/>
              <w:jc w:val="left"/>
            </w:pPr>
            <w:r>
              <w:rPr>
                <w:rFonts w:ascii="仿宋_GB2312" w:hAnsi="仿宋_GB2312" w:cs="仿宋_GB2312" w:eastAsia="仿宋_GB2312"/>
              </w:rPr>
              <w:t>其他资质要求</w:t>
            </w:r>
          </w:p>
        </w:tc>
        <w:tc>
          <w:tcPr>
            <w:tcW w:type="dxa" w:w="4614"/>
          </w:tcPr>
          <w:p>
            <w:pPr>
              <w:pStyle w:val="null3"/>
              <w:jc w:val="left"/>
            </w:pPr>
            <w:r>
              <w:rPr>
                <w:rFonts w:ascii="仿宋_GB2312" w:hAnsi="仿宋_GB2312" w:cs="仿宋_GB2312" w:eastAsia="仿宋_GB2312"/>
              </w:rPr>
              <w:t>本项目执行《福建省住房和城乡建设厅关于做好2026年省级城市更新项目暨福道精品工程、2025年省级城市更新项目工作的通知》及闽建村〔2022〕8号等文件要求，邀请台湾团队参与本项目投标，参与本项目投标的供应商（台湾团队）需符合闽建村〔2022〕8号文中关于台湾团队的相关的规定，要求具备合格有效的企业法人营业执照（台商自然人独资或台商合资的予以认可）。</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本采购包为专门面向小微企业采购，供应商须提供中小企业声明函。监狱企业、残疾人福利性单位视同小型、微型企业。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福州市晋安区象园街道办事处</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福州市晋安区长乐中路286号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程淼</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0591-83675304</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福建省贤阅项目管理有限公司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福建省福州市晋安区金鸡山路59号鼎鑫建筑设计创意园D区301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陈晓宏、陈煜、陈佳怡、林文哲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0591-87529626</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福建省贤阅项目管理有限公司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本采购包属于专门面向小微企业采购</w:t>
                  </w:r>
                </w:p>
              </w:tc>
              <w:tc>
                <w:tcPr>
                  <w:tcW w:type="dxa" w:w="1418"/>
                </w:tcPr>
                <w:p>
                  <w:pPr>
                    <w:pStyle w:val="null3"/>
                    <w:jc w:val="left"/>
                  </w:pPr>
                  <w:r>
                    <w:rPr>
                      <w:rFonts w:ascii="仿宋_GB2312" w:hAnsi="仿宋_GB2312" w:cs="仿宋_GB2312" w:eastAsia="仿宋_GB2312"/>
                    </w:rPr>
                    <w:t>本项目专门面向小微企业采购，小微企业参与磋商的应按以下要求提供相关证明材料：1、供应商提供的货物、服务或工程应符合《政府采购促进中小企业发展管理办法》（财库〔2020〕46号）第四条规定的情形，且应当提供《政府采购促进中小企业发展管理办法》（财库〔2020〕46号）规定的《中小企业声明函》。2、供应商为监狱企业的视同小型和微型企业，可不提供《中小企业声明函》，但应当提供由省级以上监狱管理局、戒毒管理局（含新疆生产建设兵团）出具的属于监狱企业的证明文件。3、供应商为残疾人福利性单位的视同小型、微型企业，可不提供《中小企业声明函》，但应当提供《残疾人福利性单位声明函》。本项目属于服务类采购项目，采购标的对应的中小企业划分标准所属行业为其他未列明行业。</w:t>
                  </w:r>
                </w:p>
              </w:tc>
            </w:tr>
            <w:tr>
              <w:tc>
                <w:tcPr>
                  <w:tcW w:type="dxa" w:w="1135"/>
                </w:tcPr>
                <w:p>
                  <w:pPr>
                    <w:pStyle w:val="null3"/>
                    <w:jc w:val="left"/>
                  </w:pPr>
                  <w:r>
                    <w:rPr>
                      <w:rFonts w:ascii="仿宋_GB2312" w:hAnsi="仿宋_GB2312" w:cs="仿宋_GB2312" w:eastAsia="仿宋_GB2312"/>
                    </w:rPr>
                    <w:t>其他资质要求</w:t>
                  </w:r>
                </w:p>
              </w:tc>
              <w:tc>
                <w:tcPr>
                  <w:tcW w:type="dxa" w:w="1418"/>
                </w:tcPr>
                <w:p>
                  <w:pPr>
                    <w:pStyle w:val="null3"/>
                    <w:jc w:val="left"/>
                  </w:pPr>
                  <w:r>
                    <w:rPr>
                      <w:rFonts w:ascii="仿宋_GB2312" w:hAnsi="仿宋_GB2312" w:cs="仿宋_GB2312" w:eastAsia="仿宋_GB2312"/>
                    </w:rPr>
                    <w:t>本项目执行《福建省住房和城乡建设厅关于做好2026年省级城市更新项目暨福道精品工程、2025年省级城市更新项目工作的通知》及闽建村〔2022〕8号等文件要求，邀请台湾团队参与本项目投标，参与本项目投标的供应商（台湾团队）需符合闽建村〔2022〕8号文中关于台湾团队的相关的规定，要求具备合格有效的企业法人营业执照（台商自然人独资或台商合资的予以认可）。</w:t>
                  </w:r>
                </w:p>
              </w:tc>
            </w:tr>
            <w:tr>
              <w:tc>
                <w:tcPr>
                  <w:tcW w:type="dxa" w:w="1135"/>
                </w:tcPr>
                <w:p>
                  <w:pPr>
                    <w:pStyle w:val="null3"/>
                    <w:jc w:val="left"/>
                  </w:pPr>
                  <w:r>
                    <w:rPr>
                      <w:rFonts w:ascii="仿宋_GB2312" w:hAnsi="仿宋_GB2312" w:cs="仿宋_GB2312" w:eastAsia="仿宋_GB2312"/>
                    </w:rPr>
                    <w:t>本采购包属于专门面向小微企业采购。</w:t>
                  </w:r>
                </w:p>
              </w:tc>
              <w:tc>
                <w:tcPr>
                  <w:tcW w:type="dxa" w:w="1418"/>
                </w:tcPr>
                <w:p>
                  <w:pPr>
                    <w:pStyle w:val="null3"/>
                    <w:jc w:val="left"/>
                  </w:pPr>
                  <w:r>
                    <w:rPr>
                      <w:rFonts w:ascii="仿宋_GB2312" w:hAnsi="仿宋_GB2312" w:cs="仿宋_GB2312" w:eastAsia="仿宋_GB2312"/>
                    </w:rPr>
                    <w:t>本采购包为专门面向小微企业采购，供应商须提供中小企业声明函。监狱企业、残疾人福利性单位视同小型、微型企业。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福州市晋安区财政局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以成交金额作为收费的计算基数，按差额定率累进法计算；②收费费率标准：成交金额在100万元以下的部分，收费费率标准1.5%；③成交供应商应在领取成交通知书的同时按规定的标准一次性向采购代理机构缴交代理服务费；代理服务费以银行转账、电汇或汇票、现金等付款方式。代理服务费缴交账号：开户名：福建省贤阅项目管理有限公司，开户行：招商银行股份有限公司福州古田支行，账号：591907681710101。</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质疑受理的其它要求：在法定质疑期内质疑人须一次性提出针对同一采购程序环节的质疑，二（多）次质疑不予受理。质疑人递交质疑函原件时还应出具质疑人已在福建省政府采购网上公开信息系统上获取采购文件的证明文件（体现查看时间或获取采购文件时间）【查看时间或获取采购文件时间以福建省政府采购网上公开信息系统记载为准】。（2.2）远程开标的规定：①本项目支持远程开标，供应商可通过远程线上参与开标，具体系统操作指南详见福建省政府采购网首页上相关操作手册。②本项目开标过程中解密及远程签章的操作时限均为30分钟，请供应商务必密切关注实时开标流程，完成远程解密、远程签章。③供应商应确保自身设施、设备、网络环境状况良好，在开标过程中因供应商自身原因未在规定的操作时间内完成响应文件的解密，逾期未解密的，视为自行放弃投标。供应商未在规定的操作时间内完成远程签章的，视为默认开标结果。④在开标过程中，因系统故障等导致无法继续进行开标的，供应商须配合等待故障处理，待故障解除后继续开标。</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提供财务状况报告（财务报告、或资信证明）：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提供财务状况报告（财务报告、或资信证明）：①供应商提供的财务报告复印件（成立年限按照提交响应文件截止时间推算）应符合下列规定：a.成立年限满1年及以上的供应商，提供经审计的2024年度或2025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a1在电子响应文件中，涉及“单位负责人签字”的内容可使用打字录入方式完成，不视为无效响应。a2磋商文件中关于供应商串通投标情形条款详见《关于福建省财政厅关于电子化政府采购项目中视为串标情形认定与处理的指导意见》闽财购〔2018〕30 号文件规定。</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技术部分评分PT 满分为72.0000分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项目</w:t>
            </w:r>
          </w:p>
        </w:tc>
        <w:tc>
          <w:tcPr>
            <w:tcW w:type="dxa" w:w="831"/>
          </w:tcPr>
          <w:p>
            <w:pPr>
              <w:pStyle w:val="null3"/>
              <w:jc w:val="left"/>
            </w:pPr>
            <w:r>
              <w:rPr>
                <w:rFonts w:ascii="仿宋_GB2312" w:hAnsi="仿宋_GB2312" w:cs="仿宋_GB2312" w:eastAsia="仿宋_GB2312"/>
              </w:rPr>
              <w:t>分值</w:t>
            </w:r>
          </w:p>
        </w:tc>
        <w:tc>
          <w:tcPr>
            <w:tcW w:type="dxa" w:w="415"/>
          </w:tcPr>
          <w:p>
            <w:pPr>
              <w:pStyle w:val="null3"/>
              <w:jc w:val="left"/>
            </w:pPr>
            <w:r>
              <w:rPr>
                <w:rFonts w:ascii="仿宋_GB2312" w:hAnsi="仿宋_GB2312" w:cs="仿宋_GB2312" w:eastAsia="仿宋_GB2312"/>
              </w:rPr>
              <w:t>是否客观项</w:t>
            </w:r>
          </w:p>
        </w:tc>
        <w:tc>
          <w:tcPr>
            <w:tcW w:type="dxa" w:w="3738"/>
          </w:tcPr>
          <w:p>
            <w:pPr>
              <w:pStyle w:val="null3"/>
              <w:jc w:val="left"/>
            </w:pPr>
            <w:r>
              <w:rPr>
                <w:rFonts w:ascii="仿宋_GB2312" w:hAnsi="仿宋_GB2312" w:cs="仿宋_GB2312" w:eastAsia="仿宋_GB2312"/>
              </w:rPr>
              <w:t>描述</w:t>
            </w:r>
          </w:p>
        </w:tc>
      </w:tr>
      <w:tr>
        <w:tc>
          <w:tcPr>
            <w:tcW w:type="dxa" w:w="3322"/>
          </w:tcPr>
          <w:p>
            <w:pPr>
              <w:pStyle w:val="null3"/>
              <w:jc w:val="left"/>
            </w:pPr>
            <w:r>
              <w:rPr>
                <w:rFonts w:ascii="仿宋_GB2312" w:hAnsi="仿宋_GB2312" w:cs="仿宋_GB2312" w:eastAsia="仿宋_GB2312"/>
              </w:rPr>
              <w:t>1、技术服务响应情况</w:t>
            </w:r>
          </w:p>
        </w:tc>
        <w:tc>
          <w:tcPr>
            <w:tcW w:type="dxa" w:w="831"/>
          </w:tcPr>
          <w:p>
            <w:pPr>
              <w:pStyle w:val="null3"/>
              <w:jc w:val="right"/>
            </w:pPr>
            <w:r>
              <w:rPr>
                <w:rFonts w:ascii="仿宋_GB2312" w:hAnsi="仿宋_GB2312" w:cs="仿宋_GB2312" w:eastAsia="仿宋_GB2312"/>
              </w:rPr>
              <w:t>51.00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所提交的响应文件中对磋商文件《采购内容及要求》“二、技术要求”的各项要求的响应、承诺情况进行评分：①完全满足磋商文件要求的得51分。②标注【评审项】的条款（共17项），存在负偏离的，每项扣3分，扣完为止，正偏离不加分；③标注“★”的条款（共3项）为不允许负偏离的实质性要求，若存在负偏离的，则按无效响应处理。注：响应文件中技术指标若有要求供应商提供相应佐证材料的，供应商未提供相应佐证材料或者供应商的响应承诺与其佐证材料不一致的，磋商小组将以不利于供应商的内容为准进行评审。</w:t>
            </w:r>
          </w:p>
        </w:tc>
      </w:tr>
      <w:tr>
        <w:tc>
          <w:tcPr>
            <w:tcW w:type="dxa" w:w="3322"/>
          </w:tcPr>
          <w:p>
            <w:pPr>
              <w:pStyle w:val="null3"/>
              <w:jc w:val="left"/>
            </w:pPr>
            <w:r>
              <w:rPr>
                <w:rFonts w:ascii="仿宋_GB2312" w:hAnsi="仿宋_GB2312" w:cs="仿宋_GB2312" w:eastAsia="仿宋_GB2312"/>
              </w:rPr>
              <w:t>2、项目背景研究方案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实际情况所提供的背景研究方案(内容至少包括:研究背景与政策依据、项目核心内容、现状资源与发展条件分析、研究目标与预期成果等)，由评委进行评分：方案包含的要点齐全无缺漏项、内容与要点相符、每个要点均有展开详细的阐述、整体思路结构清晰、逻辑性强，内容描述科学合理，细节考虑周全且能够适用于本项目的得3分；方案所包含的要点齐全、内容与要点相符，但内容阐述简略，未展开阐述的得2.8分；方案所包含的要点有所缺漏的得2.6分；未提供或提供不符合的不得分。</w:t>
            </w:r>
          </w:p>
        </w:tc>
      </w:tr>
      <w:tr>
        <w:tc>
          <w:tcPr>
            <w:tcW w:type="dxa" w:w="3322"/>
          </w:tcPr>
          <w:p>
            <w:pPr>
              <w:pStyle w:val="null3"/>
              <w:jc w:val="left"/>
            </w:pPr>
            <w:r>
              <w:rPr>
                <w:rFonts w:ascii="仿宋_GB2312" w:hAnsi="仿宋_GB2312" w:cs="仿宋_GB2312" w:eastAsia="仿宋_GB2312"/>
              </w:rPr>
              <w:t>3、实施进度安排方案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陪伴式”服务实施进度安排方案（内容至少包括:前期准备、建设实施、验收运营等），由评委进行评分：方案包含的要点齐全无缺漏项、内容与要点相符、每个要点均有展开详细的阐述、整体思路结构清晰、逻辑性强，内容描述科学合理，细节考虑周全且能够适用于本项目的得3分；方案所包含的要点齐全、内容与要点相符，但内容阐述简略，未展开阐述的得2.8分；方案所包含的要点有所缺漏的得2.6分；未提供或提供不符合的不得分。</w:t>
            </w:r>
          </w:p>
        </w:tc>
      </w:tr>
      <w:tr>
        <w:tc>
          <w:tcPr>
            <w:tcW w:type="dxa" w:w="3322"/>
          </w:tcPr>
          <w:p>
            <w:pPr>
              <w:pStyle w:val="null3"/>
              <w:jc w:val="left"/>
            </w:pPr>
            <w:r>
              <w:rPr>
                <w:rFonts w:ascii="仿宋_GB2312" w:hAnsi="仿宋_GB2312" w:cs="仿宋_GB2312" w:eastAsia="仿宋_GB2312"/>
              </w:rPr>
              <w:t>4、现场调研情况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现场调研情况(内容至少包括:环境梳理、产业发展与经济基础分析、人居环境与基础设施等)，由评委进行评分：方案包含的要点齐全无缺漏项、内容与要点相符、每个要点均有展开详细的阐述、整体思路结构清晰、逻辑性强，内容描述科学合理，细节考虑周全且能够适用于本项目的得3分；方案所包含的要点齐全、内容与要点相符，但内容阐述简略，未展开阐述的得2.8分；方案所包含的要点有所缺漏的得2.6分；未提供或提供不符合的不得分。</w:t>
            </w:r>
          </w:p>
        </w:tc>
      </w:tr>
      <w:tr>
        <w:tc>
          <w:tcPr>
            <w:tcW w:type="dxa" w:w="3322"/>
          </w:tcPr>
          <w:p>
            <w:pPr>
              <w:pStyle w:val="null3"/>
              <w:jc w:val="left"/>
            </w:pPr>
            <w:r>
              <w:rPr>
                <w:rFonts w:ascii="仿宋_GB2312" w:hAnsi="仿宋_GB2312" w:cs="仿宋_GB2312" w:eastAsia="仿宋_GB2312"/>
              </w:rPr>
              <w:t>5、后续跟进服务</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对本项目后续跟进的服务以及内容（内容至少包括:服务跟进计划及服务跟进内容等），由评委进行评分：方案包含的要点齐全无缺漏项、内容与要点相符、每个要点均有展开详细的阐述、整体思路结构清晰、逻辑性强，内容描述科学合理，细节考虑周全且能够适用于本项目的得3分；方案所包含的要点齐全、内容与要点相符，但内容阐述简略，未展开阐述的得2.8分；方案所包含的要点有所缺漏的得2.6分；未提供或提供不符合的不得分。</w:t>
            </w:r>
          </w:p>
        </w:tc>
      </w:tr>
      <w:tr>
        <w:tc>
          <w:tcPr>
            <w:tcW w:type="dxa" w:w="3322"/>
          </w:tcPr>
          <w:p>
            <w:pPr>
              <w:pStyle w:val="null3"/>
              <w:jc w:val="left"/>
            </w:pPr>
            <w:r>
              <w:rPr>
                <w:rFonts w:ascii="仿宋_GB2312" w:hAnsi="仿宋_GB2312" w:cs="仿宋_GB2312" w:eastAsia="仿宋_GB2312"/>
              </w:rPr>
              <w:t>6、运营优化与机制完善思路</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对项目运营优化与机制完善思路（内容至少包括:运营与机制建议系统性、可操作性分析等），由评委进行评分：方案包含的要点齐全无缺漏项、内容与要点相符、每个要点均有展开详细的阐述、整体思路结构清晰、逻辑性强，内容描述科学合理，细节考虑周全且能够适用于本项目的得3分；方案所包含的要点齐全、内容与要点相符，但内容阐述简略，未展开阐述的得2.8分；方案所包含的要点有所缺漏的得2.6分；未提供或提供不符合的不得分。</w:t>
            </w:r>
          </w:p>
        </w:tc>
      </w:tr>
      <w:tr>
        <w:tc>
          <w:tcPr>
            <w:tcW w:type="dxa" w:w="3322"/>
          </w:tcPr>
          <w:p>
            <w:pPr>
              <w:pStyle w:val="null3"/>
              <w:jc w:val="left"/>
            </w:pPr>
            <w:r>
              <w:rPr>
                <w:rFonts w:ascii="仿宋_GB2312" w:hAnsi="仿宋_GB2312" w:cs="仿宋_GB2312" w:eastAsia="仿宋_GB2312"/>
              </w:rPr>
              <w:t>7、驻点陪护服务方案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对目驻点陪护服务方案（内容至少包括:驻点安排、服务频次、阶段支持机制等），由评委进行评分：方案包含的要点齐全无缺漏项、内容与要点相符、每个要点均有展开详细的阐述、整体思路结构清晰、逻辑性强，内容描述科学合理，细节考虑周全且能够适用于本项目的得3分；方案所包含的要点齐全、内容与要点相符，但内容阐述简略，未展开阐述的得2.8分；方案所包含的要点有所缺漏的得2.6分；未提供或提供不符合的不得分。</w:t>
            </w:r>
          </w:p>
        </w:tc>
      </w:tr>
      <w:tr>
        <w:tc>
          <w:tcPr>
            <w:tcW w:type="dxa" w:w="3322"/>
          </w:tcPr>
          <w:p>
            <w:pPr>
              <w:pStyle w:val="null3"/>
              <w:jc w:val="left"/>
            </w:pPr>
            <w:r>
              <w:rPr>
                <w:rFonts w:ascii="仿宋_GB2312" w:hAnsi="仿宋_GB2312" w:cs="仿宋_GB2312" w:eastAsia="仿宋_GB2312"/>
              </w:rPr>
              <w:t>8、成果形成与质量保障措施</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对项目成果形成与质量保障措施（内容至少包括:成果形成计划及质量控制措施等），由评委进行评分：方案包含的要点齐全无缺漏项、内容与要点相符、每个要点均有展开详细的阐述、整体思路结构清晰、逻辑性强，内容描述科学合理，细节考虑周全且能够适用于本项目的得3分；方案所包含的要点齐全、内容与要点相符，但内容阐述简略，未展开阐述的得2.7分；方案所包含的要点有所缺漏的得2.4分；未提供或提供不符合的不得分。</w:t>
            </w:r>
          </w:p>
        </w:tc>
      </w:tr>
    </w:tbl>
    <w:p>
      <w:pPr>
        <w:pStyle w:val="null3"/>
        <w:jc w:val="left"/>
      </w:pPr>
      <w:r>
        <w:rPr>
          <w:rFonts w:ascii="仿宋_GB2312" w:hAnsi="仿宋_GB2312" w:cs="仿宋_GB2312" w:eastAsia="仿宋_GB2312"/>
        </w:rPr>
        <w:t>商务部分评分PB 满分为18.0000分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项目</w:t>
            </w:r>
          </w:p>
        </w:tc>
        <w:tc>
          <w:tcPr>
            <w:tcW w:type="dxa" w:w="831"/>
          </w:tcPr>
          <w:p>
            <w:pPr>
              <w:pStyle w:val="null3"/>
              <w:jc w:val="left"/>
            </w:pPr>
            <w:r>
              <w:rPr>
                <w:rFonts w:ascii="仿宋_GB2312" w:hAnsi="仿宋_GB2312" w:cs="仿宋_GB2312" w:eastAsia="仿宋_GB2312"/>
              </w:rPr>
              <w:t>分值</w:t>
            </w:r>
          </w:p>
        </w:tc>
        <w:tc>
          <w:tcPr>
            <w:tcW w:type="dxa" w:w="415"/>
          </w:tcPr>
          <w:p>
            <w:pPr>
              <w:pStyle w:val="null3"/>
              <w:jc w:val="left"/>
            </w:pPr>
            <w:r>
              <w:rPr>
                <w:rFonts w:ascii="仿宋_GB2312" w:hAnsi="仿宋_GB2312" w:cs="仿宋_GB2312" w:eastAsia="仿宋_GB2312"/>
              </w:rPr>
              <w:t>是否客观项</w:t>
            </w:r>
          </w:p>
        </w:tc>
        <w:tc>
          <w:tcPr>
            <w:tcW w:type="dxa" w:w="3738"/>
          </w:tcPr>
          <w:p>
            <w:pPr>
              <w:pStyle w:val="null3"/>
              <w:jc w:val="left"/>
            </w:pPr>
            <w:r>
              <w:rPr>
                <w:rFonts w:ascii="仿宋_GB2312" w:hAnsi="仿宋_GB2312" w:cs="仿宋_GB2312" w:eastAsia="仿宋_GB2312"/>
              </w:rPr>
              <w:t>描述</w:t>
            </w:r>
          </w:p>
        </w:tc>
      </w:tr>
      <w:tr>
        <w:tc>
          <w:tcPr>
            <w:tcW w:type="dxa" w:w="3322"/>
          </w:tcPr>
          <w:p>
            <w:pPr>
              <w:pStyle w:val="null3"/>
              <w:jc w:val="left"/>
            </w:pPr>
            <w:r>
              <w:rPr>
                <w:rFonts w:ascii="仿宋_GB2312" w:hAnsi="仿宋_GB2312" w:cs="仿宋_GB2312" w:eastAsia="仿宋_GB2312"/>
              </w:rPr>
              <w:t>1、项目经验</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所提供自2022年1月1日至本项目首次递交响应文件截止时间止（日期以合同签订时间为准），由供应商独立已履约完成与本项目同类的策划咨询设计陪护式服务类项目经验情况评分，每提供一份项目经验证明材料的得1分，满分5分。供应商须提供合同文本扫描件/复印件及采购单位出具项目已履约完成的证明材料（须加盖采购单位公章），未提供或提供不符的不得分。</w:t>
            </w:r>
          </w:p>
        </w:tc>
      </w:tr>
      <w:tr>
        <w:tc>
          <w:tcPr>
            <w:tcW w:type="dxa" w:w="3322"/>
          </w:tcPr>
          <w:p>
            <w:pPr>
              <w:pStyle w:val="null3"/>
              <w:jc w:val="left"/>
            </w:pPr>
            <w:r>
              <w:rPr>
                <w:rFonts w:ascii="仿宋_GB2312" w:hAnsi="仿宋_GB2312" w:cs="仿宋_GB2312" w:eastAsia="仿宋_GB2312"/>
              </w:rPr>
              <w:t>2、服务承诺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供应商承诺在服务期间投入本项目的团队保持人员稳定，所有相关人员未经采购人同意不得随意更换的得3分。供应商须提供专项承诺函（格式自拟）并加盖供应商公章，否则不得分。</w:t>
            </w:r>
          </w:p>
        </w:tc>
      </w:tr>
      <w:tr>
        <w:tc>
          <w:tcPr>
            <w:tcW w:type="dxa" w:w="3322"/>
          </w:tcPr>
          <w:p>
            <w:pPr>
              <w:pStyle w:val="null3"/>
              <w:jc w:val="left"/>
            </w:pPr>
            <w:r>
              <w:rPr>
                <w:rFonts w:ascii="仿宋_GB2312" w:hAnsi="仿宋_GB2312" w:cs="仿宋_GB2312" w:eastAsia="仿宋_GB2312"/>
              </w:rPr>
              <w:t>3、服务响应</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为了能够及时应对采购人要求项目期间收到采购人通知，2小时（含）以内能提供现场服务的得3分；2小时（不含）~4小时（含）以内能提供现场服务的得2分；4小时（不含）~6小时（含）以内能提供现场服务的得1分；其他不得分。供应商须提供专项承诺函（格式自拟）并加盖供应商公章，否则不得分。</w:t>
            </w:r>
          </w:p>
        </w:tc>
      </w:tr>
      <w:tr>
        <w:tc>
          <w:tcPr>
            <w:tcW w:type="dxa" w:w="3322"/>
          </w:tcPr>
          <w:p>
            <w:pPr>
              <w:pStyle w:val="null3"/>
              <w:jc w:val="left"/>
            </w:pPr>
            <w:r>
              <w:rPr>
                <w:rFonts w:ascii="仿宋_GB2312" w:hAnsi="仿宋_GB2312" w:cs="仿宋_GB2312" w:eastAsia="仿宋_GB2312"/>
              </w:rPr>
              <w:t>4.项目团队人员</w:t>
            </w:r>
          </w:p>
        </w:tc>
        <w:tc>
          <w:tcPr>
            <w:tcW w:type="dxa" w:w="831"/>
          </w:tcPr>
          <w:p>
            <w:pPr>
              <w:pStyle w:val="null3"/>
              <w:jc w:val="right"/>
            </w:pPr>
            <w:r>
              <w:rPr>
                <w:rFonts w:ascii="仿宋_GB2312" w:hAnsi="仿宋_GB2312" w:cs="仿宋_GB2312" w:eastAsia="仿宋_GB2312"/>
              </w:rPr>
              <w:t>4.00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配备的项目团队人员中具备台湾籍且从事专业应符合设计或媒体传播或文创等领域的，每提供1人的得2分，满分4分。（供应商须同时提供台胞证扫描件/复印件，从事专业相关领域的证明材料并加盖供应商公章，否则不得分。)</w:t>
            </w:r>
          </w:p>
        </w:tc>
      </w:tr>
      <w:tr>
        <w:tc>
          <w:tcPr>
            <w:tcW w:type="dxa" w:w="3322"/>
          </w:tcPr>
          <w:p>
            <w:pPr>
              <w:pStyle w:val="null3"/>
              <w:jc w:val="left"/>
            </w:pPr>
            <w:r>
              <w:rPr>
                <w:rFonts w:ascii="仿宋_GB2312" w:hAnsi="仿宋_GB2312" w:cs="仿宋_GB2312" w:eastAsia="仿宋_GB2312"/>
              </w:rPr>
              <w:t>5.项目负责人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配备的项目负责人具备同类项目经验情况进行评分：每提供一份经验证明材料的得1分，满分3分。供应商须提供项目负责人具有同类项目经验的服务合同扫描件/复印件（服务合同上须体现该项目负责人名字，若服务合同上无体现项目负责人名字的，还需提供服务合同单位出具的加盖公章的证明材料），未提供或提供不符的不得分。</w:t>
            </w:r>
          </w:p>
        </w:tc>
      </w:tr>
    </w:tbl>
    <w:p>
      <w:pPr>
        <w:pStyle w:val="null3"/>
        <w:jc w:val="left"/>
      </w:pPr>
      <w:r>
        <w:rPr>
          <w:rFonts w:ascii="仿宋_GB2312" w:hAnsi="仿宋_GB2312" w:cs="仿宋_GB2312" w:eastAsia="仿宋_GB2312"/>
        </w:rPr>
        <w:t>异常低价审查</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项目</w:t>
            </w:r>
          </w:p>
        </w:tc>
        <w:tc>
          <w:tcPr>
            <w:tcW w:type="dxa" w:w="4153"/>
          </w:tcPr>
          <w:p>
            <w:pPr>
              <w:pStyle w:val="null3"/>
              <w:jc w:val="left"/>
            </w:pPr>
            <w:r>
              <w:rPr>
                <w:rFonts w:ascii="仿宋_GB2312" w:hAnsi="仿宋_GB2312" w:cs="仿宋_GB2312" w:eastAsia="仿宋_GB2312"/>
              </w:rPr>
              <w:t>描述</w:t>
            </w:r>
          </w:p>
        </w:tc>
      </w:tr>
      <w:tr>
        <w:tc>
          <w:tcPr>
            <w:tcW w:type="dxa" w:w="4153"/>
          </w:tcPr>
          <w:p>
            <w:pPr>
              <w:pStyle w:val="null3"/>
              <w:jc w:val="left"/>
            </w:pPr>
            <w:r>
              <w:rPr>
                <w:rFonts w:ascii="仿宋_GB2312" w:hAnsi="仿宋_GB2312" w:cs="仿宋_GB2312" w:eastAsia="仿宋_GB2312"/>
              </w:rPr>
              <w:t>异常低价审查</w:t>
            </w:r>
          </w:p>
        </w:tc>
        <w:tc>
          <w:tcPr>
            <w:tcW w:type="dxa" w:w="4153"/>
          </w:tcPr>
          <w:p>
            <w:pPr>
              <w:pStyle w:val="null3"/>
              <w:jc w:val="left"/>
            </w:pPr>
            <w:r>
              <w:rPr>
                <w:rFonts w:ascii="仿宋_GB2312" w:hAnsi="仿宋_GB2312" w:cs="仿宋_GB2312" w:eastAsia="仿宋_GB2312"/>
              </w:rPr>
              <w:t>根据《财政部关于推动解决政府采购异常低价问题的通知》（财库〔2026〕2号），结合本项目（采购包）实际情况，政府采购评审中出现下列情形之一的，评审委员会应当启动异常低价投标（响应）审查程序： （1）晋安区象园街道乐园社区更新(完整社区)闽台合作“城建城创”策划咨询设计陪护式服务项目响应报价低于全部通过符合性审查供应商响应报价平均值50%的，即晋安区象园街道乐园社区更新(完整社区)闽台合作“城建城创”策划咨询设计陪护式服务项目响应报价&lt;全部通过符合性审查供应商响应报价平均值×50%。 （2）晋安区象园街道乐园社区更新(完整社区)闽台合作“城建城创”策划咨询设计陪护式服务项目响应报价低于通过符合性审查次低报价供应商响应报价50%的，即晋安区象园街道乐园社区更新(完整社区)闽台合作“城建城创”策划咨询设计陪护式服务项目响应报价&lt;通过符合性审查次低报价供应商响应报价×50%。 （3）晋安区象园街道乐园社区更新(完整社区)闽台合作“城建城创”策划咨询设计陪护式服务项目响应报价低于最高限价45%的，即晋安区象园街道乐园社区更新(完整社区)闽台合作“城建城创”策划咨询设计陪护式服务项目响应报价&lt;最高限价×45%。 （4）评审委员会基于专业判断，认为供应商报价过低，有可能影响产品质量或者不能诚信履约的其他情形。 评审委员会启动异常低价投标（响应）审查后，应当要求相关供应商在评审现场合理的时间内提供书面说明及必要的证明材料，对投标（响应）价格作出解释。</w:t>
            </w:r>
          </w:p>
        </w:tc>
      </w:tr>
    </w:tbl>
    <w:p>
      <w:pPr>
        <w:pStyle w:val="null3"/>
        <w:jc w:val="left"/>
      </w:pPr>
      <w:r>
        <w:rPr>
          <w:rFonts w:ascii="仿宋_GB2312" w:hAnsi="仿宋_GB2312" w:cs="仿宋_GB2312" w:eastAsia="仿宋_GB2312"/>
        </w:rPr>
        <w:t>评审委员会启动异常低价投标（响应）审查后，属于前述第1项至第4项情形的，应当要求相关供应商在评审现场合理的时间内对投标（响应）价格作出解释，提供项目具体成本测算等与报价合理性相关的书面说明及必要的证明材料，包括但不限于原材料成本、人工成本、制造费用等，给予相关供应商的合理时间一般不少于30分钟。其中，属于第3项情形，供应商已随投标（响应）文件一并提交相关书面说明及必要的证明材料的，在评审现场可不再重复提交。</w:t>
      </w:r>
    </w:p>
    <w:p>
      <w:pPr>
        <w:pStyle w:val="null3"/>
        <w:jc w:val="left"/>
      </w:pPr>
      <w:r>
        <w:rPr>
          <w:rFonts w:ascii="仿宋_GB2312" w:hAnsi="仿宋_GB2312" w:cs="仿宋_GB2312" w:eastAsia="仿宋_GB2312"/>
        </w:rPr>
        <w:t>评审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w:t>
      </w:r>
    </w:p>
    <w:p>
      <w:pPr>
        <w:pStyle w:val="null3"/>
        <w:jc w:val="left"/>
      </w:pPr>
      <w:r>
        <w:rPr>
          <w:rFonts w:ascii="仿宋_GB2312" w:hAnsi="仿宋_GB2312" w:cs="仿宋_GB2312" w:eastAsia="仿宋_GB2312"/>
        </w:rPr>
        <w:t>采购人、采购代理机构应当为评审委员会在评审现场及时获取同类项目中标（成交）价格、类似产品市场价格水平、行业人工费用标准、国家有关部门指导行业协会发布的行业平均成本等相关信息资料提供便利。评审委员会借助互联网等渠道查询相关信息的，应当严格遵守评审工作纪律，不得实施影响评审公正的行为。</w:t>
      </w:r>
    </w:p>
    <w:p>
      <w:pPr>
        <w:pStyle w:val="null3"/>
        <w:jc w:val="left"/>
      </w:pPr>
      <w:r>
        <w:rPr>
          <w:rFonts w:ascii="仿宋_GB2312" w:hAnsi="仿宋_GB2312" w:cs="仿宋_GB2312" w:eastAsia="仿宋_GB2312"/>
        </w:rPr>
        <w:t>异常低价投标（响应）审查的启动原因、审查意见和审查结果应当在评审报告中记录，并随供应商提供的相关书面说明及证明材料，以及评审委员会有关互联网浏览、查询历史一并归档。</w:t>
      </w:r>
    </w:p>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响应文件未按照磋商文件规定要求签署、盖章的；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属于磋商文件规定磋商小组应否决其投标的情形；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明显不符合技术规格、技术标准的要求；</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违反磋商文件中载明“响应文件无效”（“响应无效/无效响应”）条款的规定或不符合磋商文件中规定的其它实质性条款，其响应无效。</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磋商文件第三章“三、商务条件”中内容属于实质性要求，出现负偏离的，按无效处理；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响应文件未按照磋商文件规定要求签署、盖章的；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属于磋商文件规定磋商小组应否决其投标的情形；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违反磋商文件中载明“响应文件无效”（“响应无效/无效响应”）条款的规定或不符合磋商文件中规定的其它实质性条款，其响应无效。</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供应商报价超过最高限价的；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磋商小组认为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24.1本国产品与非本国产品相关约定</w:t>
      </w:r>
    </w:p>
    <w:p>
      <w:pPr>
        <w:pStyle w:val="null3"/>
        <w:ind w:firstLine="480"/>
        <w:jc w:val="left"/>
      </w:pPr>
      <w:r>
        <w:rPr>
          <w:rFonts w:ascii="仿宋_GB2312" w:hAnsi="仿宋_GB2312" w:cs="仿宋_GB2312" w:eastAsia="仿宋_GB2312"/>
        </w:rPr>
        <w:t>24.1.1本国产品</w:t>
      </w:r>
    </w:p>
    <w:p>
      <w:pPr>
        <w:pStyle w:val="null3"/>
        <w:ind w:firstLine="480"/>
        <w:jc w:val="left"/>
      </w:pPr>
      <w:r>
        <w:rPr>
          <w:rFonts w:ascii="仿宋_GB2312" w:hAnsi="仿宋_GB2312" w:cs="仿宋_GB2312" w:eastAsia="仿宋_GB2312"/>
        </w:rPr>
        <w:t>（1）本国产品标准 本国产品应当符合以下条件： ①在中国境内生产。 产品应当在中国境内生产，即在中华人民共和国关境内实现从原材料、组件到产品的属性改变。 属性改变是指经过制造、加工或者组装等工序，产生完全不同于原材料、组件的新产品，并具有新的名称和特征（用途）。属性改变不包括以下细微操作： a.为确保产品在运输或者储存期间保持某种状态而进行的操作； b.为产品运输或者销售进行的包装或者展示； c.在产品或者其包装上粘贴或者印刷品牌、标志、标识以及其他用于区别的标记； d.简单的上漆、磨光和分装； e.其他不属于属性改变的情形。 ②在中国境内生产的组件成本占比达到规定比例。 具体判定标准以《国务院办公厅关于在政府采购中实施本国产品标准及相关政策的通知》以及财政部相关文件为准。 ③特定产品的关键组件、关键工序符合相关要求。 具体判定标准以《国务院办公厅关于在政府采购中实施本国产品标准及相关政策的通知》以及财政部相关文件为准。</w:t>
      </w:r>
    </w:p>
    <w:p>
      <w:pPr>
        <w:pStyle w:val="null3"/>
        <w:ind w:firstLine="480"/>
        <w:jc w:val="left"/>
      </w:pPr>
      <w:r>
        <w:rPr>
          <w:rFonts w:ascii="仿宋_GB2312" w:hAnsi="仿宋_GB2312" w:cs="仿宋_GB2312" w:eastAsia="仿宋_GB2312"/>
        </w:rPr>
        <w:t>（2）本国产品标准的适用范围 本国产品标准适用于货物，包括政府采购货物项目和服务项目中涉及的货物。适用本国产品标准的货物具体是指《政府采购品目分类目录》中的货物类产品，但不包括其中的房屋和构筑物，文物和陈列品，图书和档案，特种动植物，农林牧渔业产品，矿与矿物，电力、城市燃气、蒸汽和热水、水，食品、饮料和烟草原料，无形资产。</w:t>
      </w:r>
    </w:p>
    <w:p>
      <w:pPr>
        <w:pStyle w:val="null3"/>
        <w:ind w:firstLine="480"/>
        <w:jc w:val="left"/>
      </w:pPr>
      <w:r>
        <w:rPr>
          <w:rFonts w:ascii="仿宋_GB2312" w:hAnsi="仿宋_GB2312" w:cs="仿宋_GB2312" w:eastAsia="仿宋_GB2312"/>
        </w:rPr>
        <w:t>（3）对本国产品的支持政策 政府采购活动中既有本国产品又有非本国产品参与竞争的，依法对本国产品给予价格评审优惠，对本国产品的报价给予20%的价格扣除，用扣除后的价格参与评审。</w:t>
      </w:r>
    </w:p>
    <w:p>
      <w:pPr>
        <w:pStyle w:val="null3"/>
        <w:ind w:firstLine="480"/>
        <w:jc w:val="left"/>
      </w:pPr>
      <w:r>
        <w:rPr>
          <w:rFonts w:ascii="仿宋_GB2312" w:hAnsi="仿宋_GB2312" w:cs="仿宋_GB2312" w:eastAsia="仿宋_GB2312"/>
        </w:rPr>
        <w:t>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w:t>
      </w:r>
    </w:p>
    <w:p>
      <w:pPr>
        <w:pStyle w:val="null3"/>
        <w:ind w:firstLine="480"/>
        <w:jc w:val="left"/>
      </w:pPr>
      <w:r>
        <w:rPr>
          <w:rFonts w:ascii="仿宋_GB2312" w:hAnsi="仿宋_GB2312" w:cs="仿宋_GB2312" w:eastAsia="仿宋_GB2312"/>
        </w:rPr>
        <w:t>24.1.2 非本国产品</w:t>
      </w:r>
    </w:p>
    <w:p>
      <w:pPr>
        <w:pStyle w:val="null3"/>
        <w:ind w:firstLine="480"/>
        <w:jc w:val="left"/>
      </w:pPr>
      <w:r>
        <w:rPr>
          <w:rFonts w:ascii="仿宋_GB2312" w:hAnsi="仿宋_GB2312" w:cs="仿宋_GB2312" w:eastAsia="仿宋_GB2312"/>
        </w:rPr>
        <w:t>24.1.2.1 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24.1.2.2 其它非本国产品：指非进口产品且不符合本国产品标准的产品。</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0"/>
          <w:b/>
        </w:rPr>
        <w:t>1.项目背景</w:t>
      </w:r>
    </w:p>
    <w:p>
      <w:pPr>
        <w:pStyle w:val="null3"/>
        <w:ind w:firstLine="480"/>
      </w:pPr>
      <w:r>
        <w:rPr>
          <w:rFonts w:ascii="仿宋_GB2312" w:hAnsi="仿宋_GB2312" w:cs="仿宋_GB2312" w:eastAsia="仿宋_GB2312"/>
          <w:sz w:val="20"/>
        </w:rPr>
        <w:t>为深入贯彻落实中央城市工作会议精神，根据《中共中央国务院关于推动城市高质量发展的意见》《中共中央办公厅国务院办公厅关于持续推进城市更新行动的意见》等工作部署，认真践行人</w:t>
      </w:r>
      <w:r>
        <w:rPr>
          <w:rFonts w:ascii="仿宋_GB2312" w:hAnsi="仿宋_GB2312" w:cs="仿宋_GB2312" w:eastAsia="仿宋_GB2312"/>
          <w:sz w:val="20"/>
        </w:rPr>
        <w:t>民城市重要理念，经研究，省级财政支持开展闽台合作</w:t>
      </w:r>
      <w:r>
        <w:rPr>
          <w:rFonts w:ascii="仿宋_GB2312" w:hAnsi="仿宋_GB2312" w:cs="仿宋_GB2312" w:eastAsia="仿宋_GB2312"/>
          <w:sz w:val="20"/>
        </w:rPr>
        <w:t>“城建城创”相关工作，助力推动省级社区更新（完整社区）项目建设。</w:t>
      </w:r>
    </w:p>
    <w:p>
      <w:pPr>
        <w:pStyle w:val="null3"/>
        <w:ind w:firstLine="482"/>
        <w:jc w:val="both"/>
      </w:pPr>
      <w:r>
        <w:rPr>
          <w:rFonts w:ascii="仿宋_GB2312" w:hAnsi="仿宋_GB2312" w:cs="仿宋_GB2312" w:eastAsia="仿宋_GB2312"/>
          <w:sz w:val="20"/>
        </w:rPr>
        <w:t>晋安区象园街道乐园</w:t>
      </w:r>
      <w:r>
        <w:rPr>
          <w:rFonts w:ascii="仿宋_GB2312" w:hAnsi="仿宋_GB2312" w:cs="仿宋_GB2312" w:eastAsia="仿宋_GB2312"/>
          <w:sz w:val="20"/>
        </w:rPr>
        <w:t>社区正在推进完整社区建设，并申报福建省</w:t>
      </w:r>
      <w:r>
        <w:rPr>
          <w:rFonts w:ascii="仿宋_GB2312" w:hAnsi="仿宋_GB2312" w:cs="仿宋_GB2312" w:eastAsia="仿宋_GB2312"/>
          <w:sz w:val="20"/>
        </w:rPr>
        <w:t>2026年闽台合作“城建城创”项目。本项目拟通过引入专业服务机构，以陪护式、驻点式服务方式，协助社区完善实施路径、优化运营机制、提升治理能力，推动典型工程创建与可持续发展。</w:t>
      </w:r>
    </w:p>
    <w:p>
      <w:pPr>
        <w:pStyle w:val="null3"/>
      </w:pPr>
      <w:r>
        <w:rPr>
          <w:rFonts w:ascii="仿宋_GB2312" w:hAnsi="仿宋_GB2312" w:cs="仿宋_GB2312" w:eastAsia="仿宋_GB2312"/>
          <w:sz w:val="20"/>
          <w:b/>
        </w:rPr>
        <w:t>2、</w:t>
      </w:r>
      <w:r>
        <w:rPr>
          <w:rFonts w:ascii="仿宋_GB2312" w:hAnsi="仿宋_GB2312" w:cs="仿宋_GB2312" w:eastAsia="仿宋_GB2312"/>
          <w:sz w:val="20"/>
          <w:b/>
        </w:rPr>
        <w:t>报价要求</w:t>
      </w:r>
    </w:p>
    <w:p>
      <w:pPr>
        <w:pStyle w:val="null3"/>
        <w:ind w:firstLine="480"/>
      </w:pPr>
      <w:r>
        <w:rPr>
          <w:rFonts w:ascii="仿宋_GB2312" w:hAnsi="仿宋_GB2312" w:cs="仿宋_GB2312" w:eastAsia="仿宋_GB2312"/>
          <w:sz w:val="20"/>
        </w:rPr>
        <w:t>2</w:t>
      </w:r>
      <w:r>
        <w:rPr>
          <w:rFonts w:ascii="仿宋_GB2312" w:hAnsi="仿宋_GB2312" w:cs="仿宋_GB2312" w:eastAsia="仿宋_GB2312"/>
          <w:sz w:val="20"/>
        </w:rPr>
        <w:t>.1.本项目为整体采购，供应商必须对采购项目的所有内容及服务进行完整报价响应。拆分报价或不完整响应的将视为无效报价。</w:t>
      </w:r>
    </w:p>
    <w:p>
      <w:pPr>
        <w:pStyle w:val="null3"/>
        <w:ind w:firstLine="480"/>
      </w:pPr>
      <w:r>
        <w:rPr>
          <w:rFonts w:ascii="仿宋_GB2312" w:hAnsi="仿宋_GB2312" w:cs="仿宋_GB2312" w:eastAsia="仿宋_GB2312"/>
          <w:sz w:val="20"/>
        </w:rPr>
        <w:t>2</w:t>
      </w:r>
      <w:r>
        <w:rPr>
          <w:rFonts w:ascii="仿宋_GB2312" w:hAnsi="仿宋_GB2312" w:cs="仿宋_GB2312" w:eastAsia="仿宋_GB2312"/>
          <w:sz w:val="20"/>
        </w:rPr>
        <w:t>.2.供应商响应报价应是为完成本项目招标要求内所有内容的产生的费用，报价包括应包括设计费、人工费、交通、食宿、团队营运费、技术服务费、差旅费、培训费、保险费、税费、文本费、团队指导服务费、专家评审费（若有）、</w:t>
      </w:r>
      <w:r>
        <w:rPr>
          <w:rFonts w:ascii="仿宋_GB2312" w:hAnsi="仿宋_GB2312" w:cs="仿宋_GB2312" w:eastAsia="仿宋_GB2312"/>
          <w:sz w:val="20"/>
        </w:rPr>
        <w:t>代理</w:t>
      </w:r>
      <w:r>
        <w:rPr>
          <w:rFonts w:ascii="仿宋_GB2312" w:hAnsi="仿宋_GB2312" w:cs="仿宋_GB2312" w:eastAsia="仿宋_GB2312"/>
          <w:sz w:val="20"/>
        </w:rPr>
        <w:t>服务费、项目验收涉及相关费用等为完成本项目所有可能发生的一切费用，采购人不再支付其他任何费用。</w:t>
      </w:r>
    </w:p>
    <w:p>
      <w:pPr>
        <w:pStyle w:val="null3"/>
        <w:ind w:firstLine="400"/>
      </w:pPr>
      <w:r>
        <w:rPr>
          <w:rFonts w:ascii="仿宋_GB2312" w:hAnsi="仿宋_GB2312" w:cs="仿宋_GB2312" w:eastAsia="仿宋_GB2312"/>
          <w:sz w:val="20"/>
        </w:rPr>
        <w:t>2</w:t>
      </w:r>
      <w:r>
        <w:rPr>
          <w:rFonts w:ascii="仿宋_GB2312" w:hAnsi="仿宋_GB2312" w:cs="仿宋_GB2312" w:eastAsia="仿宋_GB2312"/>
          <w:sz w:val="20"/>
        </w:rPr>
        <w:t>.3.各供应商报价时应综合考虑日后属政策性调整、市场价格的浮动等因素造成的价格变动，上述价格变动除合同中约定外不予调整。在项目的实施过程中，采购人除了支付合同规定的款项外，一切合同规定外的费用将拒绝支付。</w:t>
      </w:r>
    </w:p>
    <w:p>
      <w:pPr>
        <w:pStyle w:val="null3"/>
        <w:ind w:firstLine="400"/>
      </w:pPr>
      <w:r>
        <w:rPr>
          <w:rFonts w:ascii="仿宋_GB2312" w:hAnsi="仿宋_GB2312" w:cs="仿宋_GB2312" w:eastAsia="仿宋_GB2312"/>
          <w:sz w:val="20"/>
        </w:rPr>
        <w:t>3、</w:t>
      </w:r>
      <w:r>
        <w:rPr>
          <w:rFonts w:ascii="仿宋_GB2312" w:hAnsi="仿宋_GB2312" w:cs="仿宋_GB2312" w:eastAsia="仿宋_GB2312"/>
          <w:sz w:val="20"/>
        </w:rPr>
        <w:t>本项目不组织统一踏勘现场，各供应商请自行与采购单位联系了解情况并自行踏勘现场，根据现场实际情况编制投标方案，未进行现场勘察的，视同了解现场情况，各供应商独自承担投标风险。</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0"/>
          <w:b/>
        </w:rPr>
        <w:t>1.“陪护式”引导咨询服务（评审项1）</w:t>
      </w:r>
    </w:p>
    <w:p>
      <w:pPr>
        <w:pStyle w:val="null3"/>
        <w:ind w:firstLine="480"/>
        <w:jc w:val="both"/>
      </w:pPr>
      <w:r>
        <w:rPr>
          <w:rFonts w:ascii="仿宋_GB2312" w:hAnsi="仿宋_GB2312" w:cs="仿宋_GB2312" w:eastAsia="仿宋_GB2312"/>
          <w:sz w:val="20"/>
        </w:rPr>
        <w:t>围绕</w:t>
      </w:r>
      <w:r>
        <w:rPr>
          <w:rFonts w:ascii="仿宋_GB2312" w:hAnsi="仿宋_GB2312" w:cs="仿宋_GB2312" w:eastAsia="仿宋_GB2312"/>
          <w:sz w:val="20"/>
        </w:rPr>
        <w:t>晋安区象园街道乐园社区</w:t>
      </w:r>
      <w:r>
        <w:rPr>
          <w:rFonts w:ascii="仿宋_GB2312" w:hAnsi="仿宋_GB2312" w:cs="仿宋_GB2312" w:eastAsia="仿宋_GB2312"/>
          <w:sz w:val="20"/>
        </w:rPr>
        <w:t>完整社区建设目标，提供全过程陪护式引导咨询服务。重点围绕社区公共空间优化、健康生活环境构建、慢行系统完善、社区运营机制建立等方向，提供系统性咨询与技术支持。</w:t>
      </w:r>
    </w:p>
    <w:p>
      <w:pPr>
        <w:pStyle w:val="null3"/>
        <w:jc w:val="both"/>
      </w:pPr>
      <w:r>
        <w:rPr>
          <w:rFonts w:ascii="仿宋_GB2312" w:hAnsi="仿宋_GB2312" w:cs="仿宋_GB2312" w:eastAsia="仿宋_GB2312"/>
          <w:sz w:val="20"/>
          <w:b/>
        </w:rPr>
        <w:t>2.调研与反馈机制</w:t>
      </w:r>
    </w:p>
    <w:p>
      <w:pPr>
        <w:pStyle w:val="null3"/>
        <w:ind w:firstLine="480"/>
        <w:jc w:val="both"/>
      </w:pPr>
      <w:r>
        <w:rPr>
          <w:rFonts w:ascii="仿宋_GB2312" w:hAnsi="仿宋_GB2312" w:cs="仿宋_GB2312" w:eastAsia="仿宋_GB2312"/>
          <w:sz w:val="20"/>
        </w:rPr>
        <w:t>2.1开展不同的阶段性调研与访谈工作，涵盖居民、物业、相关单位等不同主体。</w:t>
      </w:r>
      <w:r>
        <w:rPr>
          <w:rFonts w:ascii="仿宋_GB2312" w:hAnsi="仿宋_GB2312" w:cs="仿宋_GB2312" w:eastAsia="仿宋_GB2312"/>
          <w:sz w:val="20"/>
          <w:b/>
        </w:rPr>
        <w:t>（评审项</w:t>
      </w:r>
      <w:r>
        <w:rPr>
          <w:rFonts w:ascii="仿宋_GB2312" w:hAnsi="仿宋_GB2312" w:cs="仿宋_GB2312" w:eastAsia="仿宋_GB2312"/>
          <w:sz w:val="20"/>
          <w:b/>
        </w:rPr>
        <w:t>2）</w:t>
      </w:r>
    </w:p>
    <w:p>
      <w:pPr>
        <w:pStyle w:val="null3"/>
        <w:ind w:firstLine="480"/>
        <w:jc w:val="both"/>
      </w:pPr>
      <w:r>
        <w:rPr>
          <w:rFonts w:ascii="仿宋_GB2312" w:hAnsi="仿宋_GB2312" w:cs="仿宋_GB2312" w:eastAsia="仿宋_GB2312"/>
          <w:sz w:val="20"/>
        </w:rPr>
        <w:t>2.2形成阶段性分析报告与优化建议，按指引要求形成三类清单。</w:t>
      </w:r>
      <w:r>
        <w:rPr>
          <w:rFonts w:ascii="仿宋_GB2312" w:hAnsi="仿宋_GB2312" w:cs="仿宋_GB2312" w:eastAsia="仿宋_GB2312"/>
          <w:sz w:val="20"/>
          <w:b/>
        </w:rPr>
        <w:t>（评审项</w:t>
      </w:r>
      <w:r>
        <w:rPr>
          <w:rFonts w:ascii="仿宋_GB2312" w:hAnsi="仿宋_GB2312" w:cs="仿宋_GB2312" w:eastAsia="仿宋_GB2312"/>
          <w:sz w:val="20"/>
          <w:b/>
        </w:rPr>
        <w:t>3）</w:t>
      </w:r>
    </w:p>
    <w:p>
      <w:pPr>
        <w:pStyle w:val="null3"/>
        <w:jc w:val="both"/>
      </w:pPr>
      <w:r>
        <w:rPr>
          <w:rFonts w:ascii="仿宋_GB2312" w:hAnsi="仿宋_GB2312" w:cs="仿宋_GB2312" w:eastAsia="仿宋_GB2312"/>
          <w:sz w:val="20"/>
          <w:b/>
        </w:rPr>
        <w:t>3.完整社区更新实施路径研究（评审项4）</w:t>
      </w:r>
    </w:p>
    <w:p>
      <w:pPr>
        <w:pStyle w:val="null3"/>
        <w:ind w:firstLine="480"/>
        <w:jc w:val="both"/>
      </w:pPr>
      <w:r>
        <w:rPr>
          <w:rFonts w:ascii="仿宋_GB2312" w:hAnsi="仿宋_GB2312" w:cs="仿宋_GB2312" w:eastAsia="仿宋_GB2312"/>
          <w:sz w:val="20"/>
        </w:rPr>
        <w:t>编制</w:t>
      </w:r>
      <w:r>
        <w:rPr>
          <w:rFonts w:ascii="仿宋_GB2312" w:hAnsi="仿宋_GB2312" w:cs="仿宋_GB2312" w:eastAsia="仿宋_GB2312"/>
          <w:sz w:val="20"/>
        </w:rPr>
        <w:t>晋安区象园街道乐园社区</w:t>
      </w:r>
      <w:r>
        <w:rPr>
          <w:rFonts w:ascii="仿宋_GB2312" w:hAnsi="仿宋_GB2312" w:cs="仿宋_GB2312" w:eastAsia="仿宋_GB2312"/>
          <w:sz w:val="20"/>
        </w:rPr>
        <w:t>完整社区更新实施路径建议思路。内容包括：社区空间优化与补短板方向、健康生活环境提升路径、慢行与公共活动空间体系建议、社区公共服务协同机制、分阶段实施与评估建议。</w:t>
      </w:r>
    </w:p>
    <w:p>
      <w:pPr>
        <w:pStyle w:val="null3"/>
        <w:jc w:val="both"/>
      </w:pPr>
      <w:r>
        <w:rPr>
          <w:rFonts w:ascii="仿宋_GB2312" w:hAnsi="仿宋_GB2312" w:cs="仿宋_GB2312" w:eastAsia="仿宋_GB2312"/>
          <w:sz w:val="20"/>
          <w:b/>
        </w:rPr>
        <w:t>4</w:t>
      </w:r>
      <w:r>
        <w:rPr>
          <w:rFonts w:ascii="仿宋_GB2312" w:hAnsi="仿宋_GB2312" w:cs="仿宋_GB2312" w:eastAsia="仿宋_GB2312"/>
          <w:sz w:val="20"/>
          <w:b/>
        </w:rPr>
        <w:t>.</w:t>
      </w:r>
      <w:r>
        <w:rPr>
          <w:rFonts w:ascii="仿宋_GB2312" w:hAnsi="仿宋_GB2312" w:cs="仿宋_GB2312" w:eastAsia="仿宋_GB2312"/>
          <w:sz w:val="20"/>
          <w:b/>
        </w:rPr>
        <w:t>公共空间系统提升建议（评审项</w:t>
      </w:r>
      <w:r>
        <w:rPr>
          <w:rFonts w:ascii="仿宋_GB2312" w:hAnsi="仿宋_GB2312" w:cs="仿宋_GB2312" w:eastAsia="仿宋_GB2312"/>
          <w:sz w:val="20"/>
          <w:b/>
        </w:rPr>
        <w:t>5）</w:t>
      </w:r>
    </w:p>
    <w:p>
      <w:pPr>
        <w:pStyle w:val="null3"/>
        <w:ind w:firstLine="480"/>
        <w:jc w:val="both"/>
      </w:pPr>
      <w:r>
        <w:rPr>
          <w:rFonts w:ascii="仿宋_GB2312" w:hAnsi="仿宋_GB2312" w:cs="仿宋_GB2312" w:eastAsia="仿宋_GB2312"/>
          <w:sz w:val="20"/>
        </w:rPr>
        <w:t>结合社区现状，提出公共空间品质提升建议，包括但不限于：慢行系统完善、节点空间优化、社区活动空间配置建议、可实施性分解清单。</w:t>
      </w:r>
    </w:p>
    <w:p>
      <w:pPr>
        <w:pStyle w:val="null3"/>
        <w:jc w:val="both"/>
      </w:pPr>
      <w:r>
        <w:rPr>
          <w:rFonts w:ascii="仿宋_GB2312" w:hAnsi="仿宋_GB2312" w:cs="仿宋_GB2312" w:eastAsia="仿宋_GB2312"/>
          <w:sz w:val="20"/>
          <w:b/>
        </w:rPr>
        <w:t>5.在地文化融入与空间表达建议（评审项6</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结合</w:t>
      </w:r>
      <w:r>
        <w:rPr>
          <w:rFonts w:ascii="仿宋_GB2312" w:hAnsi="仿宋_GB2312" w:cs="仿宋_GB2312" w:eastAsia="仿宋_GB2312"/>
          <w:sz w:val="20"/>
        </w:rPr>
        <w:t>福州市</w:t>
      </w:r>
      <w:r>
        <w:rPr>
          <w:rFonts w:ascii="仿宋_GB2312" w:hAnsi="仿宋_GB2312" w:cs="仿宋_GB2312" w:eastAsia="仿宋_GB2312"/>
          <w:sz w:val="20"/>
        </w:rPr>
        <w:t>在地文化特色，提出文化元素融入社区空间的实施建议。强调通过空间语言转译在地文化精神，形成可持续、可施工、可维护的表达方式，避免表层符号化处理。</w:t>
      </w:r>
    </w:p>
    <w:p>
      <w:pPr>
        <w:pStyle w:val="null3"/>
        <w:jc w:val="both"/>
      </w:pPr>
      <w:r>
        <w:rPr>
          <w:rFonts w:ascii="仿宋_GB2312" w:hAnsi="仿宋_GB2312" w:cs="仿宋_GB2312" w:eastAsia="仿宋_GB2312"/>
          <w:sz w:val="20"/>
          <w:b/>
        </w:rPr>
        <w:t>6.社区运营机制构建建议</w:t>
      </w:r>
      <w:r>
        <w:rPr>
          <w:rFonts w:ascii="仿宋_GB2312" w:hAnsi="仿宋_GB2312" w:cs="仿宋_GB2312" w:eastAsia="仿宋_GB2312"/>
          <w:sz w:val="20"/>
          <w:b/>
        </w:rPr>
        <w:t>（</w:t>
      </w:r>
      <w:r>
        <w:rPr>
          <w:rFonts w:ascii="仿宋_GB2312" w:hAnsi="仿宋_GB2312" w:cs="仿宋_GB2312" w:eastAsia="仿宋_GB2312"/>
          <w:sz w:val="20"/>
          <w:b/>
        </w:rPr>
        <w:t>评审项</w:t>
      </w:r>
      <w:r>
        <w:rPr>
          <w:rFonts w:ascii="仿宋_GB2312" w:hAnsi="仿宋_GB2312" w:cs="仿宋_GB2312" w:eastAsia="仿宋_GB2312"/>
          <w:sz w:val="20"/>
          <w:b/>
        </w:rPr>
        <w:t>7</w:t>
      </w:r>
      <w:r>
        <w:rPr>
          <w:rFonts w:ascii="仿宋_GB2312" w:hAnsi="仿宋_GB2312" w:cs="仿宋_GB2312" w:eastAsia="仿宋_GB2312"/>
          <w:sz w:val="20"/>
          <w:b/>
        </w:rPr>
        <w:t>）</w:t>
      </w:r>
    </w:p>
    <w:p>
      <w:pPr>
        <w:pStyle w:val="null3"/>
        <w:ind w:firstLine="480"/>
        <w:jc w:val="both"/>
      </w:pPr>
      <w:r>
        <w:rPr>
          <w:rFonts w:ascii="仿宋_GB2312" w:hAnsi="仿宋_GB2312" w:cs="仿宋_GB2312" w:eastAsia="仿宋_GB2312"/>
          <w:sz w:val="20"/>
        </w:rPr>
        <w:t>提出社区运营协同机制建议，包括：志愿服务协同机制、活动组织路径、公共空间运维建议、运营与反馈闭环机制。</w:t>
      </w:r>
    </w:p>
    <w:p>
      <w:pPr>
        <w:pStyle w:val="null3"/>
        <w:jc w:val="both"/>
      </w:pPr>
      <w:r>
        <w:rPr>
          <w:rFonts w:ascii="仿宋_GB2312" w:hAnsi="仿宋_GB2312" w:cs="仿宋_GB2312" w:eastAsia="仿宋_GB2312"/>
          <w:sz w:val="20"/>
          <w:b/>
        </w:rPr>
        <w:t>7.技术响应要求</w:t>
      </w:r>
    </w:p>
    <w:p>
      <w:pPr>
        <w:pStyle w:val="null3"/>
        <w:ind w:firstLine="361"/>
      </w:pPr>
      <w:r>
        <w:rPr>
          <w:rFonts w:ascii="仿宋_GB2312" w:hAnsi="仿宋_GB2312" w:cs="仿宋_GB2312" w:eastAsia="仿宋_GB2312"/>
          <w:sz w:val="20"/>
          <w:b/>
        </w:rPr>
        <w:t xml:space="preserve">7.1 </w:t>
      </w:r>
      <w:r>
        <w:rPr>
          <w:rFonts w:ascii="仿宋_GB2312" w:hAnsi="仿宋_GB2312" w:cs="仿宋_GB2312" w:eastAsia="仿宋_GB2312"/>
          <w:sz w:val="20"/>
          <w:b/>
        </w:rPr>
        <w:t>项目</w:t>
      </w:r>
      <w:r>
        <w:rPr>
          <w:rFonts w:ascii="仿宋_GB2312" w:hAnsi="仿宋_GB2312" w:cs="仿宋_GB2312" w:eastAsia="仿宋_GB2312"/>
          <w:sz w:val="20"/>
          <w:b/>
        </w:rPr>
        <w:t>团队</w:t>
      </w:r>
      <w:r>
        <w:rPr>
          <w:rFonts w:ascii="仿宋_GB2312" w:hAnsi="仿宋_GB2312" w:cs="仿宋_GB2312" w:eastAsia="仿宋_GB2312"/>
          <w:sz w:val="20"/>
          <w:b/>
        </w:rPr>
        <w:t>要求</w:t>
      </w:r>
    </w:p>
    <w:p>
      <w:pPr>
        <w:pStyle w:val="null3"/>
        <w:ind w:firstLine="360"/>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）根据项目建设周期，在服务周期内对项目建设提供重要节点现场陪护式服务；安排设计师协助采购人推进社区更新建设，根据项目服务事项，于重要施工节点派专人指导相应施工工作</w:t>
      </w:r>
      <w:r>
        <w:rPr>
          <w:rFonts w:ascii="仿宋_GB2312" w:hAnsi="仿宋_GB2312" w:cs="仿宋_GB2312" w:eastAsia="仿宋_GB2312"/>
          <w:sz w:val="20"/>
        </w:rPr>
        <w:t>。</w:t>
      </w:r>
      <w:r>
        <w:rPr>
          <w:rFonts w:ascii="仿宋_GB2312" w:hAnsi="仿宋_GB2312" w:cs="仿宋_GB2312" w:eastAsia="仿宋_GB2312"/>
          <w:sz w:val="20"/>
          <w:b/>
        </w:rPr>
        <w:t>(评审项</w:t>
      </w:r>
      <w:r>
        <w:rPr>
          <w:rFonts w:ascii="仿宋_GB2312" w:hAnsi="仿宋_GB2312" w:cs="仿宋_GB2312" w:eastAsia="仿宋_GB2312"/>
          <w:sz w:val="20"/>
          <w:b/>
        </w:rPr>
        <w:t>8</w:t>
      </w:r>
      <w:r>
        <w:rPr>
          <w:rFonts w:ascii="仿宋_GB2312" w:hAnsi="仿宋_GB2312" w:cs="仿宋_GB2312" w:eastAsia="仿宋_GB2312"/>
          <w:sz w:val="20"/>
          <w:b/>
        </w:rPr>
        <w:t>）</w:t>
      </w:r>
    </w:p>
    <w:p>
      <w:pPr>
        <w:pStyle w:val="null3"/>
        <w:ind w:firstLine="360"/>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）派驻现场服务人员为具有相关经验的专业工作人员</w:t>
      </w:r>
      <w:r>
        <w:rPr>
          <w:rFonts w:ascii="仿宋_GB2312" w:hAnsi="仿宋_GB2312" w:cs="仿宋_GB2312" w:eastAsia="仿宋_GB2312"/>
          <w:sz w:val="20"/>
        </w:rPr>
        <w:t>。</w:t>
      </w:r>
      <w:r>
        <w:rPr>
          <w:rFonts w:ascii="仿宋_GB2312" w:hAnsi="仿宋_GB2312" w:cs="仿宋_GB2312" w:eastAsia="仿宋_GB2312"/>
          <w:sz w:val="20"/>
          <w:b/>
        </w:rPr>
        <w:t>(评审项</w:t>
      </w:r>
      <w:r>
        <w:rPr>
          <w:rFonts w:ascii="仿宋_GB2312" w:hAnsi="仿宋_GB2312" w:cs="仿宋_GB2312" w:eastAsia="仿宋_GB2312"/>
          <w:sz w:val="20"/>
          <w:b/>
        </w:rPr>
        <w:t>9</w:t>
      </w:r>
      <w:r>
        <w:rPr>
          <w:rFonts w:ascii="仿宋_GB2312" w:hAnsi="仿宋_GB2312" w:cs="仿宋_GB2312" w:eastAsia="仿宋_GB2312"/>
          <w:sz w:val="20"/>
          <w:b/>
        </w:rPr>
        <w:t>）</w:t>
      </w:r>
    </w:p>
    <w:p>
      <w:pPr>
        <w:pStyle w:val="null3"/>
        <w:ind w:firstLine="360"/>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平均每月指导服务不少于</w:t>
      </w:r>
      <w:r>
        <w:rPr>
          <w:rFonts w:ascii="仿宋_GB2312" w:hAnsi="仿宋_GB2312" w:cs="仿宋_GB2312" w:eastAsia="仿宋_GB2312"/>
          <w:sz w:val="20"/>
        </w:rPr>
        <w:t>10天或服务期间累积不少于100天（含线上线下服务方式，但线上服务时长不得超总时长的50%）。</w:t>
      </w:r>
      <w:r>
        <w:rPr>
          <w:rFonts w:ascii="仿宋_GB2312" w:hAnsi="仿宋_GB2312" w:cs="仿宋_GB2312" w:eastAsia="仿宋_GB2312"/>
          <w:sz w:val="20"/>
          <w:b/>
        </w:rPr>
        <w:t>(评审项</w:t>
      </w:r>
      <w:r>
        <w:rPr>
          <w:rFonts w:ascii="仿宋_GB2312" w:hAnsi="仿宋_GB2312" w:cs="仿宋_GB2312" w:eastAsia="仿宋_GB2312"/>
          <w:sz w:val="20"/>
          <w:b/>
        </w:rPr>
        <w:t>10</w:t>
      </w:r>
      <w:r>
        <w:rPr>
          <w:rFonts w:ascii="仿宋_GB2312" w:hAnsi="仿宋_GB2312" w:cs="仿宋_GB2312" w:eastAsia="仿宋_GB2312"/>
          <w:sz w:val="20"/>
          <w:b/>
        </w:rPr>
        <w:t>）</w:t>
      </w:r>
    </w:p>
    <w:p>
      <w:pPr>
        <w:pStyle w:val="null3"/>
        <w:ind w:firstLine="361"/>
      </w:pPr>
      <w:r>
        <w:rPr>
          <w:rFonts w:ascii="仿宋_GB2312" w:hAnsi="仿宋_GB2312" w:cs="仿宋_GB2312" w:eastAsia="仿宋_GB2312"/>
          <w:sz w:val="20"/>
          <w:b/>
        </w:rPr>
        <w:t>7.</w:t>
      </w:r>
      <w:r>
        <w:rPr>
          <w:rFonts w:ascii="仿宋_GB2312" w:hAnsi="仿宋_GB2312" w:cs="仿宋_GB2312" w:eastAsia="仿宋_GB2312"/>
          <w:sz w:val="20"/>
          <w:b/>
        </w:rPr>
        <w:t>2</w:t>
      </w:r>
      <w:r>
        <w:rPr>
          <w:rFonts w:ascii="仿宋_GB2312" w:hAnsi="仿宋_GB2312" w:cs="仿宋_GB2312" w:eastAsia="仿宋_GB2312"/>
          <w:sz w:val="20"/>
          <w:b/>
        </w:rPr>
        <w:t>提交的资料及服务</w:t>
      </w:r>
    </w:p>
    <w:p>
      <w:pPr>
        <w:pStyle w:val="null3"/>
        <w:ind w:firstLine="361"/>
      </w:pPr>
      <w:r>
        <w:rPr>
          <w:rFonts w:ascii="仿宋_GB2312" w:hAnsi="仿宋_GB2312" w:cs="仿宋_GB2312" w:eastAsia="仿宋_GB2312"/>
          <w:sz w:val="20"/>
          <w:b/>
        </w:rPr>
        <w:t>7.</w:t>
      </w:r>
      <w:r>
        <w:rPr>
          <w:rFonts w:ascii="仿宋_GB2312" w:hAnsi="仿宋_GB2312" w:cs="仿宋_GB2312" w:eastAsia="仿宋_GB2312"/>
          <w:sz w:val="20"/>
          <w:b/>
        </w:rPr>
        <w:t>2</w:t>
      </w:r>
      <w:r>
        <w:rPr>
          <w:rFonts w:ascii="仿宋_GB2312" w:hAnsi="仿宋_GB2312" w:cs="仿宋_GB2312" w:eastAsia="仿宋_GB2312"/>
          <w:sz w:val="20"/>
          <w:b/>
        </w:rPr>
        <w:t>.1提交的资料(评审项1</w:t>
      </w:r>
      <w:r>
        <w:rPr>
          <w:rFonts w:ascii="仿宋_GB2312" w:hAnsi="仿宋_GB2312" w:cs="仿宋_GB2312" w:eastAsia="仿宋_GB2312"/>
          <w:sz w:val="20"/>
          <w:b/>
        </w:rPr>
        <w:t>1</w:t>
      </w:r>
      <w:r>
        <w:rPr>
          <w:rFonts w:ascii="仿宋_GB2312" w:hAnsi="仿宋_GB2312" w:cs="仿宋_GB2312" w:eastAsia="仿宋_GB2312"/>
          <w:sz w:val="20"/>
          <w:b/>
        </w:rPr>
        <w:t>）</w:t>
      </w:r>
    </w:p>
    <w:tbl>
      <w:tblPr>
        <w:tblW w:w="0" w:type="auto"/>
        <w:tblInd w:type="dxa" w:w="420"/>
        <w:tblBorders>
          <w:top w:val="none" w:color="000000" w:sz="4"/>
          <w:left w:val="none" w:color="000000" w:sz="4"/>
          <w:bottom w:val="none" w:color="000000" w:sz="4"/>
          <w:right w:val="none" w:color="000000" w:sz="4"/>
          <w:insideH w:val="none"/>
          <w:insideV w:val="none"/>
        </w:tblBorders>
      </w:tblPr>
      <w:tblGrid>
        <w:gridCol w:w="727"/>
        <w:gridCol w:w="2970"/>
        <w:gridCol w:w="3233"/>
        <w:gridCol w:w="1377"/>
      </w:tblGrid>
      <w:tr>
        <w:tc>
          <w:tcPr>
            <w:tcW w:type="dxa" w:w="7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2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资料与文件</w:t>
            </w:r>
          </w:p>
        </w:tc>
        <w:tc>
          <w:tcPr>
            <w:tcW w:type="dxa" w:w="3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内容要求</w:t>
            </w:r>
          </w:p>
        </w:tc>
        <w:tc>
          <w:tcPr>
            <w:tcW w:type="dxa" w:w="1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数量</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原始地形测绘图</w:t>
            </w:r>
          </w:p>
        </w:tc>
        <w:tc>
          <w:tcPr>
            <w:tcW w:type="dxa" w:w="3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Cad电子档</w:t>
            </w:r>
          </w:p>
        </w:tc>
        <w:tc>
          <w:tcPr>
            <w:tcW w:type="dxa" w:w="1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1份</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相关规划图纸</w:t>
            </w:r>
          </w:p>
        </w:tc>
        <w:tc>
          <w:tcPr>
            <w:tcW w:type="dxa" w:w="3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电子档或书面</w:t>
            </w:r>
          </w:p>
        </w:tc>
        <w:tc>
          <w:tcPr>
            <w:tcW w:type="dxa" w:w="1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1份</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相关社区情况介绍</w:t>
            </w:r>
          </w:p>
        </w:tc>
        <w:tc>
          <w:tcPr>
            <w:tcW w:type="dxa" w:w="3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电子档或书面</w:t>
            </w:r>
          </w:p>
        </w:tc>
        <w:tc>
          <w:tcPr>
            <w:tcW w:type="dxa" w:w="1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1份</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指派专人协助设计工作</w:t>
            </w:r>
          </w:p>
        </w:tc>
        <w:tc>
          <w:tcPr>
            <w:tcW w:type="dxa" w:w="3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联系方式</w:t>
            </w:r>
          </w:p>
        </w:tc>
        <w:tc>
          <w:tcPr>
            <w:tcW w:type="dxa" w:w="1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1人</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相关文献及社区史、影片等</w:t>
            </w:r>
          </w:p>
        </w:tc>
        <w:tc>
          <w:tcPr>
            <w:tcW w:type="dxa" w:w="3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电子档或书面</w:t>
            </w:r>
          </w:p>
        </w:tc>
        <w:tc>
          <w:tcPr>
            <w:tcW w:type="dxa" w:w="1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1份</w:t>
            </w:r>
          </w:p>
        </w:tc>
      </w:tr>
    </w:tbl>
    <w:p>
      <w:pPr>
        <w:pStyle w:val="null3"/>
        <w:ind w:firstLine="240"/>
        <w:jc w:val="both"/>
      </w:pPr>
      <w:r>
        <w:rPr>
          <w:rFonts w:ascii="仿宋_GB2312" w:hAnsi="仿宋_GB2312" w:cs="仿宋_GB2312" w:eastAsia="仿宋_GB2312"/>
          <w:sz w:val="20"/>
        </w:rPr>
        <w:t>★</w:t>
      </w:r>
      <w:r>
        <w:rPr>
          <w:rFonts w:ascii="仿宋_GB2312" w:hAnsi="仿宋_GB2312" w:cs="仿宋_GB2312" w:eastAsia="仿宋_GB2312"/>
          <w:sz w:val="20"/>
          <w:b/>
        </w:rPr>
        <w:t>7.</w:t>
      </w:r>
      <w:r>
        <w:rPr>
          <w:rFonts w:ascii="仿宋_GB2312" w:hAnsi="仿宋_GB2312" w:cs="仿宋_GB2312" w:eastAsia="仿宋_GB2312"/>
          <w:sz w:val="20"/>
          <w:b/>
        </w:rPr>
        <w:t>2</w:t>
      </w:r>
      <w:r>
        <w:rPr>
          <w:rFonts w:ascii="仿宋_GB2312" w:hAnsi="仿宋_GB2312" w:cs="仿宋_GB2312" w:eastAsia="仿宋_GB2312"/>
          <w:sz w:val="20"/>
          <w:b/>
        </w:rPr>
        <w:t>.2成交人应向采购人提供的有关资料与文件如下：</w:t>
      </w:r>
    </w:p>
    <w:tbl>
      <w:tblPr>
        <w:tblW w:w="0" w:type="auto"/>
        <w:tblInd w:type="dxa" w:w="420"/>
        <w:tblBorders>
          <w:top w:val="none" w:color="000000" w:sz="4"/>
          <w:left w:val="none" w:color="000000" w:sz="4"/>
          <w:bottom w:val="none" w:color="000000" w:sz="4"/>
          <w:right w:val="none" w:color="000000" w:sz="4"/>
          <w:insideH w:val="none"/>
          <w:insideV w:val="none"/>
        </w:tblBorders>
      </w:tblPr>
      <w:tblGrid>
        <w:gridCol w:w="925"/>
        <w:gridCol w:w="2774"/>
        <w:gridCol w:w="4608"/>
      </w:tblGrid>
      <w:tr>
        <w:tc>
          <w:tcPr>
            <w:tcW w:type="dxa" w:w="9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27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资料与文件</w:t>
            </w:r>
          </w:p>
        </w:tc>
        <w:tc>
          <w:tcPr>
            <w:tcW w:type="dxa" w:w="46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内容要求</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顶层设计正式稿</w:t>
            </w:r>
          </w:p>
        </w:tc>
        <w:tc>
          <w:tcPr>
            <w:tcW w:type="dxa" w:w="4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书面文本</w:t>
            </w:r>
            <w:r>
              <w:rPr>
                <w:rFonts w:ascii="仿宋_GB2312" w:hAnsi="仿宋_GB2312" w:cs="仿宋_GB2312" w:eastAsia="仿宋_GB2312"/>
                <w:sz w:val="20"/>
              </w:rPr>
              <w:t>(A3)</w:t>
            </w:r>
          </w:p>
        </w:tc>
      </w:tr>
      <w:tr>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顶层设计正式稿</w:t>
            </w:r>
          </w:p>
        </w:tc>
        <w:tc>
          <w:tcPr>
            <w:tcW w:type="dxa" w:w="4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电子档</w:t>
            </w:r>
          </w:p>
        </w:tc>
      </w:tr>
    </w:tbl>
    <w:p>
      <w:pPr>
        <w:pStyle w:val="null3"/>
        <w:ind w:left="255"/>
        <w:jc w:val="both"/>
      </w:pPr>
      <w:r>
        <w:rPr>
          <w:rFonts w:ascii="仿宋_GB2312" w:hAnsi="仿宋_GB2312" w:cs="仿宋_GB2312" w:eastAsia="仿宋_GB2312"/>
          <w:sz w:val="20"/>
        </w:rPr>
        <w:t>备注</w:t>
      </w:r>
      <w:r>
        <w:rPr>
          <w:rFonts w:ascii="仿宋_GB2312" w:hAnsi="仿宋_GB2312" w:cs="仿宋_GB2312" w:eastAsia="仿宋_GB2312"/>
          <w:sz w:val="20"/>
        </w:rPr>
        <w:t>:设计成果书面文本提供不少于4份,电子档为Word、PDF等文件档。</w:t>
      </w:r>
    </w:p>
    <w:p>
      <w:pPr>
        <w:pStyle w:val="null3"/>
        <w:jc w:val="both"/>
      </w:pPr>
      <w:r>
        <w:rPr>
          <w:rFonts w:ascii="仿宋_GB2312" w:hAnsi="仿宋_GB2312" w:cs="仿宋_GB2312" w:eastAsia="仿宋_GB2312"/>
          <w:sz w:val="20"/>
          <w:b/>
        </w:rPr>
        <w:t>8</w:t>
      </w:r>
      <w:r>
        <w:rPr>
          <w:rFonts w:ascii="仿宋_GB2312" w:hAnsi="仿宋_GB2312" w:cs="仿宋_GB2312" w:eastAsia="仿宋_GB2312"/>
          <w:sz w:val="20"/>
          <w:b/>
        </w:rPr>
        <w:t>.</w:t>
      </w:r>
      <w:r>
        <w:rPr>
          <w:rFonts w:ascii="仿宋_GB2312" w:hAnsi="仿宋_GB2312" w:cs="仿宋_GB2312" w:eastAsia="仿宋_GB2312"/>
          <w:sz w:val="20"/>
          <w:b/>
        </w:rPr>
        <w:t>其他要求</w:t>
      </w:r>
    </w:p>
    <w:p>
      <w:pPr>
        <w:pStyle w:val="null3"/>
        <w:ind w:firstLine="480"/>
        <w:jc w:val="both"/>
      </w:pPr>
      <w:r>
        <w:rPr>
          <w:rFonts w:ascii="仿宋_GB2312" w:hAnsi="仿宋_GB2312" w:cs="仿宋_GB2312" w:eastAsia="仿宋_GB2312"/>
          <w:sz w:val="20"/>
        </w:rPr>
        <w:t>8.1成交人应严格按照采购人或采购人上级部门（如福建省住房和城乡建设厅、</w:t>
      </w:r>
      <w:r>
        <w:rPr>
          <w:rFonts w:ascii="仿宋_GB2312" w:hAnsi="仿宋_GB2312" w:cs="仿宋_GB2312" w:eastAsia="仿宋_GB2312"/>
          <w:sz w:val="20"/>
        </w:rPr>
        <w:t>福州市晋安区</w:t>
      </w:r>
      <w:r>
        <w:rPr>
          <w:rFonts w:ascii="仿宋_GB2312" w:hAnsi="仿宋_GB2312" w:cs="仿宋_GB2312" w:eastAsia="仿宋_GB2312"/>
          <w:sz w:val="20"/>
        </w:rPr>
        <w:t>住房和城乡建设局等）通知的时间节点，指派符合合同约定资格的服务人员准时出席项目现场调研、方案汇报、评审会议等重要活动。</w:t>
      </w:r>
      <w:r>
        <w:rPr>
          <w:rFonts w:ascii="仿宋_GB2312" w:hAnsi="仿宋_GB2312" w:cs="仿宋_GB2312" w:eastAsia="仿宋_GB2312"/>
          <w:sz w:val="20"/>
          <w:b/>
        </w:rPr>
        <w:t>(评审项1</w:t>
      </w:r>
      <w:r>
        <w:rPr>
          <w:rFonts w:ascii="仿宋_GB2312" w:hAnsi="仿宋_GB2312" w:cs="仿宋_GB2312" w:eastAsia="仿宋_GB2312"/>
          <w:sz w:val="20"/>
          <w:b/>
        </w:rPr>
        <w:t>2</w:t>
      </w:r>
      <w:r>
        <w:rPr>
          <w:rFonts w:ascii="仿宋_GB2312" w:hAnsi="仿宋_GB2312" w:cs="仿宋_GB2312" w:eastAsia="仿宋_GB2312"/>
          <w:sz w:val="20"/>
          <w:b/>
        </w:rPr>
        <w:t>）</w:t>
      </w:r>
    </w:p>
    <w:p>
      <w:pPr>
        <w:pStyle w:val="null3"/>
        <w:ind w:firstLine="480"/>
        <w:jc w:val="both"/>
      </w:pPr>
      <w:r>
        <w:rPr>
          <w:rFonts w:ascii="仿宋_GB2312" w:hAnsi="仿宋_GB2312" w:cs="仿宋_GB2312" w:eastAsia="仿宋_GB2312"/>
          <w:sz w:val="20"/>
        </w:rPr>
        <w:t>8.2因正当理由确需调整出席时间或方式的，应至少提前24小时向采购人提出书面申请并获得采购人书面同意。</w:t>
      </w:r>
      <w:r>
        <w:rPr>
          <w:rFonts w:ascii="仿宋_GB2312" w:hAnsi="仿宋_GB2312" w:cs="仿宋_GB2312" w:eastAsia="仿宋_GB2312"/>
          <w:sz w:val="20"/>
          <w:b/>
        </w:rPr>
        <w:t>(评审项1</w:t>
      </w:r>
      <w:r>
        <w:rPr>
          <w:rFonts w:ascii="仿宋_GB2312" w:hAnsi="仿宋_GB2312" w:cs="仿宋_GB2312" w:eastAsia="仿宋_GB2312"/>
          <w:sz w:val="20"/>
          <w:b/>
        </w:rPr>
        <w:t>3</w:t>
      </w:r>
      <w:r>
        <w:rPr>
          <w:rFonts w:ascii="仿宋_GB2312" w:hAnsi="仿宋_GB2312" w:cs="仿宋_GB2312" w:eastAsia="仿宋_GB2312"/>
          <w:sz w:val="20"/>
          <w:b/>
        </w:rPr>
        <w:t>）</w:t>
      </w:r>
    </w:p>
    <w:p>
      <w:pPr>
        <w:pStyle w:val="null3"/>
        <w:ind w:firstLine="480"/>
        <w:jc w:val="both"/>
      </w:pPr>
      <w:r>
        <w:rPr>
          <w:rFonts w:ascii="仿宋_GB2312" w:hAnsi="仿宋_GB2312" w:cs="仿宋_GB2312" w:eastAsia="仿宋_GB2312"/>
          <w:sz w:val="20"/>
        </w:rPr>
        <w:t>8.3</w:t>
      </w:r>
      <w:r>
        <w:rPr>
          <w:rFonts w:ascii="仿宋_GB2312" w:hAnsi="仿宋_GB2312" w:cs="仿宋_GB2312" w:eastAsia="仿宋_GB2312"/>
          <w:sz w:val="20"/>
        </w:rPr>
        <w:t>根据省住建厅指导精神：以人民需求为本、以城市体检为基础、以四好创建为抓手、统筹谋划、争取资金、有序实施，六条要求。</w:t>
      </w:r>
      <w:r>
        <w:rPr>
          <w:rFonts w:ascii="仿宋_GB2312" w:hAnsi="仿宋_GB2312" w:cs="仿宋_GB2312" w:eastAsia="仿宋_GB2312"/>
          <w:sz w:val="20"/>
          <w:b/>
        </w:rPr>
        <w:t>（评审项</w:t>
      </w:r>
      <w:r>
        <w:rPr>
          <w:rFonts w:ascii="仿宋_GB2312" w:hAnsi="仿宋_GB2312" w:cs="仿宋_GB2312" w:eastAsia="仿宋_GB2312"/>
          <w:sz w:val="20"/>
          <w:b/>
        </w:rPr>
        <w:t>1</w:t>
      </w:r>
      <w:r>
        <w:rPr>
          <w:rFonts w:ascii="仿宋_GB2312" w:hAnsi="仿宋_GB2312" w:cs="仿宋_GB2312" w:eastAsia="仿宋_GB2312"/>
          <w:sz w:val="20"/>
          <w:b/>
        </w:rPr>
        <w:t>4</w:t>
      </w:r>
      <w:r>
        <w:rPr>
          <w:rFonts w:ascii="仿宋_GB2312" w:hAnsi="仿宋_GB2312" w:cs="仿宋_GB2312" w:eastAsia="仿宋_GB2312"/>
          <w:sz w:val="20"/>
          <w:b/>
        </w:rPr>
        <w:t>）</w:t>
      </w:r>
    </w:p>
    <w:p>
      <w:pPr>
        <w:pStyle w:val="null3"/>
        <w:ind w:firstLine="480"/>
        <w:jc w:val="both"/>
      </w:pPr>
      <w:r>
        <w:rPr>
          <w:rFonts w:ascii="仿宋_GB2312" w:hAnsi="仿宋_GB2312" w:cs="仿宋_GB2312" w:eastAsia="仿宋_GB2312"/>
          <w:sz w:val="20"/>
        </w:rPr>
        <w:t>8.4</w:t>
      </w:r>
      <w:r>
        <w:rPr>
          <w:rFonts w:ascii="仿宋_GB2312" w:hAnsi="仿宋_GB2312" w:cs="仿宋_GB2312" w:eastAsia="仿宋_GB2312"/>
          <w:sz w:val="20"/>
        </w:rPr>
        <w:t>把握城市服务设施舒适化、便利化、安全化、智慧化改造等提升重点，结合社区更新调研内容与政策精神、社区实际情况，编制符合要求且含建议生成的项目清单。</w:t>
      </w:r>
      <w:r>
        <w:rPr>
          <w:rFonts w:ascii="仿宋_GB2312" w:hAnsi="仿宋_GB2312" w:cs="仿宋_GB2312" w:eastAsia="仿宋_GB2312"/>
          <w:sz w:val="20"/>
          <w:b/>
        </w:rPr>
        <w:t>（评审项</w:t>
      </w:r>
      <w:r>
        <w:rPr>
          <w:rFonts w:ascii="仿宋_GB2312" w:hAnsi="仿宋_GB2312" w:cs="仿宋_GB2312" w:eastAsia="仿宋_GB2312"/>
          <w:sz w:val="20"/>
          <w:b/>
        </w:rPr>
        <w:t>1</w:t>
      </w:r>
      <w:r>
        <w:rPr>
          <w:rFonts w:ascii="仿宋_GB2312" w:hAnsi="仿宋_GB2312" w:cs="仿宋_GB2312" w:eastAsia="仿宋_GB2312"/>
          <w:sz w:val="20"/>
          <w:b/>
        </w:rPr>
        <w:t>5</w:t>
      </w:r>
      <w:r>
        <w:rPr>
          <w:rFonts w:ascii="仿宋_GB2312" w:hAnsi="仿宋_GB2312" w:cs="仿宋_GB2312" w:eastAsia="仿宋_GB2312"/>
          <w:sz w:val="20"/>
          <w:b/>
        </w:rPr>
        <w:t>）</w:t>
      </w:r>
    </w:p>
    <w:p>
      <w:pPr>
        <w:pStyle w:val="null3"/>
        <w:ind w:firstLine="480"/>
        <w:jc w:val="both"/>
      </w:pPr>
      <w:r>
        <w:rPr>
          <w:rFonts w:ascii="仿宋_GB2312" w:hAnsi="仿宋_GB2312" w:cs="仿宋_GB2312" w:eastAsia="仿宋_GB2312"/>
          <w:sz w:val="20"/>
        </w:rPr>
        <w:t>8.5</w:t>
      </w:r>
      <w:r>
        <w:rPr>
          <w:rFonts w:ascii="仿宋_GB2312" w:hAnsi="仿宋_GB2312" w:cs="仿宋_GB2312" w:eastAsia="仿宋_GB2312"/>
          <w:sz w:val="20"/>
        </w:rPr>
        <w:t>利用社区已流转或闲置的建筑空间，打造老人、儿童、妇女、青年居民等人群的开放公共休闲空间。</w:t>
      </w:r>
      <w:r>
        <w:rPr>
          <w:rFonts w:ascii="仿宋_GB2312" w:hAnsi="仿宋_GB2312" w:cs="仿宋_GB2312" w:eastAsia="仿宋_GB2312"/>
          <w:sz w:val="20"/>
          <w:b/>
        </w:rPr>
        <w:t>（评审项</w:t>
      </w:r>
      <w:r>
        <w:rPr>
          <w:rFonts w:ascii="仿宋_GB2312" w:hAnsi="仿宋_GB2312" w:cs="仿宋_GB2312" w:eastAsia="仿宋_GB2312"/>
          <w:sz w:val="20"/>
          <w:b/>
        </w:rPr>
        <w:t>1</w:t>
      </w:r>
      <w:r>
        <w:rPr>
          <w:rFonts w:ascii="仿宋_GB2312" w:hAnsi="仿宋_GB2312" w:cs="仿宋_GB2312" w:eastAsia="仿宋_GB2312"/>
          <w:sz w:val="20"/>
          <w:b/>
        </w:rPr>
        <w:t>6</w:t>
      </w:r>
      <w:r>
        <w:rPr>
          <w:rFonts w:ascii="仿宋_GB2312" w:hAnsi="仿宋_GB2312" w:cs="仿宋_GB2312" w:eastAsia="仿宋_GB2312"/>
          <w:sz w:val="20"/>
          <w:b/>
        </w:rPr>
        <w:t>）</w:t>
      </w:r>
    </w:p>
    <w:p>
      <w:pPr>
        <w:pStyle w:val="null3"/>
        <w:ind w:firstLine="480"/>
        <w:jc w:val="both"/>
      </w:pPr>
      <w:r>
        <w:rPr>
          <w:rFonts w:ascii="仿宋_GB2312" w:hAnsi="仿宋_GB2312" w:cs="仿宋_GB2312" w:eastAsia="仿宋_GB2312"/>
          <w:sz w:val="20"/>
          <w:b/>
        </w:rPr>
        <w:t>★</w:t>
      </w:r>
      <w:r>
        <w:rPr>
          <w:rFonts w:ascii="仿宋_GB2312" w:hAnsi="仿宋_GB2312" w:cs="仿宋_GB2312" w:eastAsia="仿宋_GB2312"/>
          <w:sz w:val="20"/>
          <w:b/>
        </w:rPr>
        <w:t>8.6</w:t>
      </w:r>
      <w:r>
        <w:rPr>
          <w:rFonts w:ascii="仿宋_GB2312" w:hAnsi="仿宋_GB2312" w:cs="仿宋_GB2312" w:eastAsia="仿宋_GB2312"/>
          <w:sz w:val="20"/>
          <w:b/>
        </w:rPr>
        <w:t>成交人</w:t>
      </w:r>
      <w:r>
        <w:rPr>
          <w:rFonts w:ascii="仿宋_GB2312" w:hAnsi="仿宋_GB2312" w:cs="仿宋_GB2312" w:eastAsia="仿宋_GB2312"/>
          <w:sz w:val="20"/>
          <w:b/>
        </w:rPr>
        <w:t>须协助采购人进行</w:t>
      </w:r>
      <w:r>
        <w:rPr>
          <w:rFonts w:ascii="仿宋_GB2312" w:hAnsi="仿宋_GB2312" w:cs="仿宋_GB2312" w:eastAsia="仿宋_GB2312"/>
          <w:sz w:val="20"/>
          <w:b/>
        </w:rPr>
        <w:t>福建省</w:t>
      </w:r>
      <w:r>
        <w:rPr>
          <w:rFonts w:ascii="仿宋_GB2312" w:hAnsi="仿宋_GB2312" w:cs="仿宋_GB2312" w:eastAsia="仿宋_GB2312"/>
          <w:sz w:val="20"/>
          <w:b/>
        </w:rPr>
        <w:t>2026年闽台合</w:t>
      </w:r>
      <w:r>
        <w:rPr>
          <w:rFonts w:ascii="仿宋_GB2312" w:hAnsi="仿宋_GB2312" w:cs="仿宋_GB2312" w:eastAsia="仿宋_GB2312"/>
          <w:sz w:val="20"/>
          <w:b/>
        </w:rPr>
        <w:t>作</w:t>
      </w:r>
      <w:r>
        <w:rPr>
          <w:rFonts w:ascii="仿宋_GB2312" w:hAnsi="仿宋_GB2312" w:cs="仿宋_GB2312" w:eastAsia="仿宋_GB2312"/>
          <w:sz w:val="20"/>
          <w:b/>
        </w:rPr>
        <w:t>“城建城创”项目申报</w:t>
      </w:r>
      <w:r>
        <w:rPr>
          <w:rFonts w:ascii="仿宋_GB2312" w:hAnsi="仿宋_GB2312" w:cs="仿宋_GB2312" w:eastAsia="仿宋_GB2312"/>
          <w:sz w:val="20"/>
          <w:b/>
        </w:rPr>
        <w:t>工作。</w:t>
      </w:r>
    </w:p>
    <w:p>
      <w:pPr>
        <w:pStyle w:val="null3"/>
        <w:jc w:val="both"/>
      </w:pPr>
      <w:r>
        <w:rPr>
          <w:rFonts w:ascii="仿宋_GB2312" w:hAnsi="仿宋_GB2312" w:cs="仿宋_GB2312" w:eastAsia="仿宋_GB2312"/>
          <w:sz w:val="20"/>
          <w:b/>
        </w:rPr>
        <w:t>9</w:t>
      </w:r>
      <w:r>
        <w:rPr>
          <w:rFonts w:ascii="仿宋_GB2312" w:hAnsi="仿宋_GB2312" w:cs="仿宋_GB2312" w:eastAsia="仿宋_GB2312"/>
          <w:sz w:val="20"/>
          <w:b/>
        </w:rPr>
        <w:t>.</w:t>
      </w:r>
      <w:r>
        <w:rPr>
          <w:rFonts w:ascii="仿宋_GB2312" w:hAnsi="仿宋_GB2312" w:cs="仿宋_GB2312" w:eastAsia="仿宋_GB2312"/>
          <w:sz w:val="20"/>
          <w:b/>
        </w:rPr>
        <w:t>对接省住建厅工作任务及要求（评审项</w:t>
      </w:r>
      <w:r>
        <w:rPr>
          <w:rFonts w:ascii="仿宋_GB2312" w:hAnsi="仿宋_GB2312" w:cs="仿宋_GB2312" w:eastAsia="仿宋_GB2312"/>
          <w:sz w:val="20"/>
          <w:b/>
        </w:rPr>
        <w:t>17</w:t>
      </w:r>
      <w:r>
        <w:rPr>
          <w:rFonts w:ascii="仿宋_GB2312" w:hAnsi="仿宋_GB2312" w:cs="仿宋_GB2312" w:eastAsia="仿宋_GB2312"/>
          <w:sz w:val="20"/>
          <w:b/>
        </w:rPr>
        <w:t>）</w:t>
      </w:r>
    </w:p>
    <w:p>
      <w:pPr>
        <w:pStyle w:val="null3"/>
        <w:ind w:firstLine="480"/>
        <w:jc w:val="both"/>
      </w:pPr>
      <w:r>
        <w:rPr>
          <w:rFonts w:ascii="仿宋_GB2312" w:hAnsi="仿宋_GB2312" w:cs="仿宋_GB2312" w:eastAsia="仿宋_GB2312"/>
          <w:sz w:val="20"/>
        </w:rPr>
        <w:t>成交人应按照《福建省住房和城乡建设厅关于做好</w:t>
      </w:r>
      <w:r>
        <w:rPr>
          <w:rFonts w:ascii="仿宋_GB2312" w:hAnsi="仿宋_GB2312" w:cs="仿宋_GB2312" w:eastAsia="仿宋_GB2312"/>
          <w:sz w:val="20"/>
        </w:rPr>
        <w:t>2026年省级城市更新项目暨福道精品工程、2025年省级城市更新项目工作的通知》及各类工作任务要求，按省住建厅要求的时间节点推进项目服务。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b/>
        </w:rPr>
        <w:t>10</w:t>
      </w:r>
      <w:r>
        <w:rPr>
          <w:rFonts w:ascii="仿宋_GB2312" w:hAnsi="仿宋_GB2312" w:cs="仿宋_GB2312" w:eastAsia="仿宋_GB2312"/>
          <w:sz w:val="20"/>
          <w:b/>
        </w:rPr>
        <w:t>.</w:t>
      </w:r>
      <w:r>
        <w:rPr>
          <w:rFonts w:ascii="仿宋_GB2312" w:hAnsi="仿宋_GB2312" w:cs="仿宋_GB2312" w:eastAsia="仿宋_GB2312"/>
          <w:sz w:val="20"/>
          <w:b/>
        </w:rPr>
        <w:t>成果质量要求</w:t>
      </w:r>
    </w:p>
    <w:p>
      <w:pPr>
        <w:pStyle w:val="null3"/>
        <w:jc w:val="both"/>
      </w:pPr>
      <w:r>
        <w:rPr>
          <w:rFonts w:ascii="仿宋_GB2312" w:hAnsi="仿宋_GB2312" w:cs="仿宋_GB2312" w:eastAsia="仿宋_GB2312"/>
          <w:sz w:val="20"/>
          <w:b/>
        </w:rPr>
        <w:t>供应商应严格按照国家和省市颁布的现行规范和规定的质量标准进行本项目策划设计、咨询、专业化服务等并提交相关方案及报告，并对提交的方案及报告结果负责。</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合同签订后45天内提交初稿，并根据采购人时间要求，提交成果稿。服务期为合同签订之日起一年。</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福州市晋安区象园街道办事处</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成果文件符合国家相关标准、行业标准及采购文件、采购合同要求。</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1、期次1，说明：按照国家相关标准、行业标准及采购文件、采购合同要求进行验收。</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1、预付款，合同签订后，达到付款条件起7日内，支付合同总金额的5.00%</w:t>
            </w:r>
          </w:p>
          <w:p>
            <w:pPr>
              <w:pStyle w:val="null3"/>
            </w:pPr>
            <w:r>
              <w:rPr>
                <w:rFonts w:ascii="仿宋_GB2312" w:hAnsi="仿宋_GB2312" w:cs="仿宋_GB2312" w:eastAsia="仿宋_GB2312"/>
              </w:rPr>
              <w:t>2、进度款，供应商提交顶层设计初稿，经采购人确认后，达到付款条件起7日内，支付合同总金额的25.00%</w:t>
            </w:r>
          </w:p>
          <w:p>
            <w:pPr>
              <w:pStyle w:val="null3"/>
            </w:pPr>
            <w:r>
              <w:rPr>
                <w:rFonts w:ascii="仿宋_GB2312" w:hAnsi="仿宋_GB2312" w:cs="仿宋_GB2312" w:eastAsia="仿宋_GB2312"/>
              </w:rPr>
              <w:t>3、进度款，供应商提交顶层设计正式稿，质量合格经采购人确认后，达到付款条件起7日内，支付合同总金额的40.00%</w:t>
            </w:r>
          </w:p>
          <w:p>
            <w:pPr>
              <w:pStyle w:val="null3"/>
            </w:pPr>
            <w:r>
              <w:rPr>
                <w:rFonts w:ascii="仿宋_GB2312" w:hAnsi="仿宋_GB2312" w:cs="仿宋_GB2312" w:eastAsia="仿宋_GB2312"/>
              </w:rPr>
              <w:t>4、进度款，合同内容全部服务完成后，达到付款条件起7日内，支付合同总金额的30.00%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p>
            <w:pPr>
              <w:pStyle w:val="null3"/>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r>
        <w:rPr>
          <w:rFonts w:ascii="仿宋_GB2312" w:hAnsi="仿宋_GB2312" w:cs="仿宋_GB2312" w:eastAsia="仿宋_GB2312"/>
          <w:sz w:val="20"/>
          <w:b/>
        </w:rPr>
        <w:t>8</w:t>
      </w:r>
      <w:r>
        <w:rPr>
          <w:rFonts w:ascii="仿宋_GB2312" w:hAnsi="仿宋_GB2312" w:cs="仿宋_GB2312" w:eastAsia="仿宋_GB2312"/>
          <w:sz w:val="20"/>
          <w:b/>
        </w:rPr>
        <w:t>、违约责任</w:t>
      </w:r>
    </w:p>
    <w:p>
      <w:pPr>
        <w:pStyle w:val="null3"/>
        <w:ind w:firstLine="480"/>
      </w:pPr>
      <w:r>
        <w:rPr>
          <w:rFonts w:ascii="仿宋_GB2312" w:hAnsi="仿宋_GB2312" w:cs="仿宋_GB2312" w:eastAsia="仿宋_GB2312"/>
          <w:sz w:val="20"/>
        </w:rPr>
        <w:t>8</w:t>
      </w:r>
      <w:r>
        <w:rPr>
          <w:rFonts w:ascii="仿宋_GB2312" w:hAnsi="仿宋_GB2312" w:cs="仿宋_GB2312" w:eastAsia="仿宋_GB2312"/>
          <w:sz w:val="20"/>
        </w:rPr>
        <w:t>.1因成交人原因造成合同无法按时签订或者签订合同后不履行其响应承诺或者其他由于成交人自身原因造成无法履行合同的，均视为成交人违约</w:t>
      </w:r>
      <w:r>
        <w:rPr>
          <w:rFonts w:ascii="仿宋_GB2312" w:hAnsi="仿宋_GB2312" w:cs="仿宋_GB2312" w:eastAsia="仿宋_GB2312"/>
          <w:sz w:val="20"/>
        </w:rPr>
        <w:t>；已</w:t>
      </w:r>
      <w:r>
        <w:rPr>
          <w:rFonts w:ascii="仿宋_GB2312" w:hAnsi="仿宋_GB2312" w:cs="仿宋_GB2312" w:eastAsia="仿宋_GB2312"/>
          <w:sz w:val="20"/>
        </w:rPr>
        <w:t>经签订合同的则合同自动解除，成交人应承担相应的法律责任，给采购人造成损失的，还应对采购人进行相应赔偿。</w:t>
      </w:r>
    </w:p>
    <w:p>
      <w:pPr>
        <w:pStyle w:val="null3"/>
        <w:ind w:firstLine="480"/>
      </w:pPr>
      <w:r>
        <w:rPr>
          <w:rFonts w:ascii="仿宋_GB2312" w:hAnsi="仿宋_GB2312" w:cs="仿宋_GB2312" w:eastAsia="仿宋_GB2312"/>
          <w:sz w:val="20"/>
        </w:rPr>
        <w:t>8</w:t>
      </w:r>
      <w:r>
        <w:rPr>
          <w:rFonts w:ascii="仿宋_GB2312" w:hAnsi="仿宋_GB2312" w:cs="仿宋_GB2312" w:eastAsia="仿宋_GB2312"/>
          <w:sz w:val="20"/>
        </w:rPr>
        <w:t>.2在签订合同之后，成交人要求解除合同的，视为成交人违约，对采购人造成损失的，还应对采购人进行相应赔偿。</w:t>
      </w:r>
    </w:p>
    <w:p>
      <w:pPr>
        <w:pStyle w:val="null3"/>
        <w:ind w:firstLine="480"/>
      </w:pPr>
      <w:r>
        <w:rPr>
          <w:rFonts w:ascii="仿宋_GB2312" w:hAnsi="仿宋_GB2312" w:cs="仿宋_GB2312" w:eastAsia="仿宋_GB2312"/>
          <w:sz w:val="20"/>
        </w:rPr>
        <w:t>8</w:t>
      </w:r>
      <w:r>
        <w:rPr>
          <w:rFonts w:ascii="仿宋_GB2312" w:hAnsi="仿宋_GB2312" w:cs="仿宋_GB2312" w:eastAsia="仿宋_GB2312"/>
          <w:sz w:val="20"/>
        </w:rPr>
        <w:t>.3如因成交供应商工作人员在履行职务过程中的疏忽、失职、过错等故意或者过失原因给采购人造成损失或侵害，包括但不限于采购人本身的财产损失、由此而导致的采购人对任何第三方的法律责任等，成交供应商对此均应承担全部的赔偿责任。</w:t>
      </w:r>
    </w:p>
    <w:p>
      <w:pPr>
        <w:pStyle w:val="null3"/>
        <w:ind w:firstLine="480"/>
      </w:pPr>
      <w:r>
        <w:rPr>
          <w:rFonts w:ascii="仿宋_GB2312" w:hAnsi="仿宋_GB2312" w:cs="仿宋_GB2312" w:eastAsia="仿宋_GB2312"/>
          <w:sz w:val="20"/>
        </w:rPr>
        <w:t>8</w:t>
      </w:r>
      <w:r>
        <w:rPr>
          <w:rFonts w:ascii="仿宋_GB2312" w:hAnsi="仿宋_GB2312" w:cs="仿宋_GB2312" w:eastAsia="仿宋_GB2312"/>
          <w:sz w:val="20"/>
        </w:rPr>
        <w:t>.4成交供应商应当遵守采购人的相关项目需求及相关技术要求及实质性条款，实施完成采购合同应当完全满足相关项目需求及相关技术要求及实质性条款，若供应商瑕疵履行采购合同，采购人有权向成交供应商要求赔偿违约金，若造成相关损失的，采购人有权要求供应商承担所有赔偿责任。</w:t>
      </w:r>
    </w:p>
    <w:p>
      <w:pPr>
        <w:pStyle w:val="null3"/>
        <w:ind w:firstLine="480"/>
      </w:pPr>
      <w:r>
        <w:rPr>
          <w:rFonts w:ascii="仿宋_GB2312" w:hAnsi="仿宋_GB2312" w:cs="仿宋_GB2312" w:eastAsia="仿宋_GB2312"/>
          <w:sz w:val="20"/>
        </w:rPr>
        <w:t>8</w:t>
      </w:r>
      <w:r>
        <w:rPr>
          <w:rFonts w:ascii="仿宋_GB2312" w:hAnsi="仿宋_GB2312" w:cs="仿宋_GB2312" w:eastAsia="仿宋_GB2312"/>
          <w:sz w:val="20"/>
        </w:rPr>
        <w:t>.5成交供应商自接采购人通知起，未能按本磋商文件规定的进度要求完成服务工作并提交服务成果的，逾期7天内（含7天）的，每天按合同总额的0.3%支付给采购人逾期违约金；逾期8-15天（含15天），每天按合同总额的0.5%支付给采购人逾期违约金；逾期15日历天以上的，采购人有权终止合同，另行委托，并且拒绝支付服务费，由此给采购人造成的经济损失由成</w:t>
      </w:r>
      <w:r>
        <w:rPr>
          <w:rFonts w:ascii="仿宋_GB2312" w:hAnsi="仿宋_GB2312" w:cs="仿宋_GB2312" w:eastAsia="仿宋_GB2312"/>
          <w:sz w:val="20"/>
        </w:rPr>
        <w:t>交供应商承担。</w:t>
      </w:r>
    </w:p>
    <w:p>
      <w:pPr>
        <w:pStyle w:val="null3"/>
        <w:ind w:firstLine="480"/>
      </w:pPr>
      <w:r>
        <w:rPr>
          <w:rFonts w:ascii="仿宋_GB2312" w:hAnsi="仿宋_GB2312" w:cs="仿宋_GB2312" w:eastAsia="仿宋_GB2312"/>
          <w:sz w:val="20"/>
        </w:rPr>
        <w:t>8</w:t>
      </w:r>
      <w:r>
        <w:rPr>
          <w:rFonts w:ascii="仿宋_GB2312" w:hAnsi="仿宋_GB2312" w:cs="仿宋_GB2312" w:eastAsia="仿宋_GB2312"/>
          <w:sz w:val="20"/>
        </w:rPr>
        <w:t>.6供应商无正当理由（正当理由指：因不可抗力、突发公共卫生事件或采购人事先书面同意调整等非供应商原因导致无法出席）未能按采购人要求派员出席前述活动的，每发生一次，供应商应向采购人支付违约金人民币伍仟元（¥5,000）。</w:t>
      </w:r>
    </w:p>
    <w:p>
      <w:pPr>
        <w:pStyle w:val="null3"/>
        <w:ind w:firstLine="480"/>
      </w:pPr>
      <w:r>
        <w:rPr>
          <w:rFonts w:ascii="仿宋_GB2312" w:hAnsi="仿宋_GB2312" w:cs="仿宋_GB2312" w:eastAsia="仿宋_GB2312"/>
          <w:sz w:val="20"/>
        </w:rPr>
        <w:t>8</w:t>
      </w:r>
      <w:r>
        <w:rPr>
          <w:rFonts w:ascii="仿宋_GB2312" w:hAnsi="仿宋_GB2312" w:cs="仿宋_GB2312" w:eastAsia="仿宋_GB2312"/>
          <w:sz w:val="20"/>
        </w:rPr>
        <w:t>.7前述违约金采购人有权直接从支付供应商的任何</w:t>
      </w:r>
      <w:r>
        <w:rPr>
          <w:rFonts w:ascii="仿宋_GB2312" w:hAnsi="仿宋_GB2312" w:cs="仿宋_GB2312" w:eastAsia="仿宋_GB2312"/>
          <w:sz w:val="20"/>
        </w:rPr>
        <w:t>款项中扣除。供应商累计发生三次以上（含三次）无正当理由未出席，影响项目推进的，视为严重违约，采购人有权单方解除本项目合同，并要求供应商承担相应违约责任。</w:t>
      </w:r>
    </w:p>
    <w:p>
      <w:pPr>
        <w:pStyle w:val="null3"/>
        <w:ind w:firstLine="480"/>
      </w:pPr>
      <w:r>
        <w:rPr>
          <w:rFonts w:ascii="仿宋_GB2312" w:hAnsi="仿宋_GB2312" w:cs="仿宋_GB2312" w:eastAsia="仿宋_GB2312"/>
          <w:sz w:val="20"/>
        </w:rPr>
        <w:t>8</w:t>
      </w:r>
      <w:r>
        <w:rPr>
          <w:rFonts w:ascii="仿宋_GB2312" w:hAnsi="仿宋_GB2312" w:cs="仿宋_GB2312" w:eastAsia="仿宋_GB2312"/>
          <w:sz w:val="20"/>
        </w:rPr>
        <w:t>.8成交人不得以任何名义和理由进行转包、分包，如有发现，采购人有权单方终止合同，视为成交人违约；成交人还需另行支付相应的赔偿。</w:t>
      </w:r>
    </w:p>
    <w:p>
      <w:pPr>
        <w:pStyle w:val="null3"/>
        <w:ind w:firstLine="480"/>
      </w:pPr>
      <w:r>
        <w:rPr>
          <w:rFonts w:ascii="仿宋_GB2312" w:hAnsi="仿宋_GB2312" w:cs="仿宋_GB2312" w:eastAsia="仿宋_GB2312"/>
          <w:sz w:val="20"/>
        </w:rPr>
        <w:t>8</w:t>
      </w:r>
      <w:r>
        <w:rPr>
          <w:rFonts w:ascii="仿宋_GB2312" w:hAnsi="仿宋_GB2312" w:cs="仿宋_GB2312" w:eastAsia="仿宋_GB2312"/>
          <w:sz w:val="20"/>
        </w:rPr>
        <w:t>.9其它违约责任按《中华人民共和国民法典》处理。</w:t>
      </w:r>
    </w:p>
    <w:p>
      <w:pPr>
        <w:pStyle w:val="null3"/>
        <w:ind w:firstLine="480"/>
      </w:pPr>
      <w:r>
        <w:rPr>
          <w:rFonts w:ascii="仿宋_GB2312" w:hAnsi="仿宋_GB2312" w:cs="仿宋_GB2312" w:eastAsia="仿宋_GB2312"/>
          <w:sz w:val="20"/>
        </w:rPr>
        <w:t>8</w:t>
      </w:r>
      <w:r>
        <w:rPr>
          <w:rFonts w:ascii="仿宋_GB2312" w:hAnsi="仿宋_GB2312" w:cs="仿宋_GB2312" w:eastAsia="仿宋_GB2312"/>
          <w:sz w:val="20"/>
        </w:rPr>
        <w:t>.10在明确违约责任后，成交人应在接到书面通知书起七天内支付违约金、赔偿金等，若成交人不及时支付，采购人可从成交人的服务款中直接扣除。</w:t>
      </w:r>
    </w:p>
    <w:p>
      <w:pPr>
        <w:pStyle w:val="null3"/>
      </w:pPr>
      <w:r>
        <w:rPr>
          <w:rFonts w:ascii="仿宋_GB2312" w:hAnsi="仿宋_GB2312" w:cs="仿宋_GB2312" w:eastAsia="仿宋_GB2312"/>
        </w:rPr>
        <w:t>★</w:t>
      </w:r>
      <w:r>
        <w:rPr>
          <w:rFonts w:ascii="仿宋_GB2312" w:hAnsi="仿宋_GB2312" w:cs="仿宋_GB2312" w:eastAsia="仿宋_GB2312"/>
          <w:sz w:val="20"/>
          <w:b/>
        </w:rPr>
        <w:t>9</w:t>
      </w:r>
      <w:r>
        <w:rPr>
          <w:rFonts w:ascii="仿宋_GB2312" w:hAnsi="仿宋_GB2312" w:cs="仿宋_GB2312" w:eastAsia="仿宋_GB2312"/>
          <w:sz w:val="20"/>
          <w:b/>
        </w:rPr>
        <w:t>、其他要求</w:t>
      </w:r>
    </w:p>
    <w:p>
      <w:pPr>
        <w:pStyle w:val="null3"/>
        <w:ind w:firstLine="480"/>
      </w:pPr>
      <w:r>
        <w:rPr>
          <w:rFonts w:ascii="仿宋_GB2312" w:hAnsi="仿宋_GB2312" w:cs="仿宋_GB2312" w:eastAsia="仿宋_GB2312"/>
          <w:sz w:val="20"/>
        </w:rPr>
        <w:t>成交供应商在整个服务期间，若发生人身伤亡、财物或其它损失，无论何种原因所致，均有成交供应商自行承担。</w:t>
      </w:r>
    </w:p>
    <w:p>
      <w:pPr>
        <w:pStyle w:val="null3"/>
      </w:pPr>
      <w:r>
        <w:rPr>
          <w:rFonts w:ascii="仿宋_GB2312" w:hAnsi="仿宋_GB2312" w:cs="仿宋_GB2312" w:eastAsia="仿宋_GB2312"/>
        </w:rPr>
        <w:t>★</w:t>
      </w:r>
      <w:r>
        <w:rPr>
          <w:rFonts w:ascii="仿宋_GB2312" w:hAnsi="仿宋_GB2312" w:cs="仿宋_GB2312" w:eastAsia="仿宋_GB2312"/>
          <w:sz w:val="20"/>
          <w:b/>
        </w:rPr>
        <w:t>1</w:t>
      </w:r>
      <w:r>
        <w:rPr>
          <w:rFonts w:ascii="仿宋_GB2312" w:hAnsi="仿宋_GB2312" w:cs="仿宋_GB2312" w:eastAsia="仿宋_GB2312"/>
          <w:sz w:val="20"/>
          <w:b/>
        </w:rPr>
        <w:t>0</w:t>
      </w:r>
      <w:r>
        <w:rPr>
          <w:rFonts w:ascii="仿宋_GB2312" w:hAnsi="仿宋_GB2312" w:cs="仿宋_GB2312" w:eastAsia="仿宋_GB2312"/>
          <w:sz w:val="20"/>
          <w:b/>
        </w:rPr>
        <w:t>、保密要求</w:t>
      </w:r>
    </w:p>
    <w:p>
      <w:pPr>
        <w:pStyle w:val="null3"/>
        <w:ind w:firstLine="480"/>
      </w:pP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.1潜在供应商及成交供应商对其因身份、职务、职业或技术关系而知悉的采购人商业秘密和党政机关保密信息应严格保守，保证不被披露或使用，包括意外或过失。</w:t>
      </w:r>
    </w:p>
    <w:p>
      <w:pPr>
        <w:pStyle w:val="null3"/>
        <w:ind w:firstLine="480"/>
      </w:pP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2潜在供应商及成交供应商不得以竞争为目的或出于私利或为第三人谋利而擅自保存、披露、使用采购人的商业秘密和党政机关保密信息；不得直接或间接地向无关人员泄露采购人的商业秘密和党政机关保密信息；不得向不承担保密义务的任何第三人披露采购人的商业秘密和党政机关保密信息。潜在供应商在从事政府项目时，不得擅自记录、复制、拍摄、摘抄、收藏在工作中涉及的保密信息，严禁将涉及政府项目的任何资料、数据透露或以其他方式提供给项目以外的其他方或潜在供应商内部与该项目无关的任何人员。</w:t>
      </w:r>
    </w:p>
    <w:p>
      <w:pPr>
        <w:pStyle w:val="null3"/>
        <w:ind w:firstLine="480"/>
      </w:pP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3潜在供应商及成交供应商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00"/>
      </w:pPr>
      <w:r>
        <w:rPr>
          <w:rFonts w:ascii="仿宋_GB2312" w:hAnsi="仿宋_GB2312" w:cs="仿宋_GB2312" w:eastAsia="仿宋_GB2312"/>
          <w:sz w:val="20"/>
        </w:rPr>
        <w:t>10.2成交供应商必须根据国家及福建省有关保密法律法规的要求，采取有效的保密措施，严防泄密。</w:t>
      </w:r>
    </w:p>
    <w:p>
      <w:pPr>
        <w:pStyle w:val="null3"/>
      </w:pPr>
      <w:r>
        <w:rPr>
          <w:rFonts w:ascii="仿宋_GB2312" w:hAnsi="仿宋_GB2312" w:cs="仿宋_GB2312" w:eastAsia="仿宋_GB2312"/>
        </w:rPr>
        <w:t>★</w:t>
      </w:r>
      <w:r>
        <w:rPr>
          <w:rFonts w:ascii="仿宋_GB2312" w:hAnsi="仿宋_GB2312" w:cs="仿宋_GB2312" w:eastAsia="仿宋_GB2312"/>
          <w:sz w:val="20"/>
          <w:b/>
        </w:rPr>
        <w:t>1</w:t>
      </w:r>
      <w:r>
        <w:rPr>
          <w:rFonts w:ascii="仿宋_GB2312" w:hAnsi="仿宋_GB2312" w:cs="仿宋_GB2312" w:eastAsia="仿宋_GB2312"/>
          <w:sz w:val="20"/>
          <w:b/>
        </w:rPr>
        <w:t>1</w:t>
      </w:r>
      <w:r>
        <w:rPr>
          <w:rFonts w:ascii="仿宋_GB2312" w:hAnsi="仿宋_GB2312" w:cs="仿宋_GB2312" w:eastAsia="仿宋_GB2312"/>
          <w:sz w:val="20"/>
          <w:b/>
        </w:rPr>
        <w:t>、资产权属</w:t>
      </w:r>
    </w:p>
    <w:p>
      <w:pPr>
        <w:pStyle w:val="null3"/>
        <w:ind w:firstLine="480"/>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.1本项目服务完毕后所得成果和专利权归采购人所有。</w:t>
      </w:r>
    </w:p>
    <w:p>
      <w:pPr>
        <w:pStyle w:val="null3"/>
        <w:ind w:firstLine="480"/>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.2在合同签订的有效期内，采购人利用成交供应商提交的技术咨询工作成果所完成的新的技术成果，归采购人所有，成交供应商应保守成果秘密。</w:t>
      </w:r>
    </w:p>
    <w:p>
      <w:pPr>
        <w:pStyle w:val="null3"/>
        <w:ind w:firstLine="480"/>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3成交供应商须保障采购人在使用该服务或其任何一部分时不受到第三方关于侵犯专利权、商标权或工业设计权等知识产权的指控。如果任何第三方提出侵权指控与采购人无关，成交供应商须与第三方交涉并承担可能发生的责任与一切费用。如采购人因此而遭致损失的，成交供应商应赔偿该损失。</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1.除采购文件另有规定外，若出现有关法律、法规和规章有强制性规定但采购文件未列明的情形，则供应商应按照有关法律、法规和规章强制性规定执行。 2.本磋商文件未明确的其它约定事项或条款，待采购人与成交供应商签订合同时，由双方协商订立。</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[350111]FJSXY[CS]2026001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晋安区象园街道乐园社区更新(完整社区)闽台合作“城建城创”策划咨询设计陪护式服务项目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1(晋安区象园街道乐园社区更新(完整社区)闽台合作“城建城创”策划咨询设计陪护式服务项目)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晋安区象园街道乐园社区更新(完整社区)闽台合作“城建城创”策划咨询设计陪护式服务项目</w:t>
            </w:r>
          </w:p>
        </w:tc>
        <w:tc>
          <w:tcPr>
            <w:tcW w:type="dxa" w:w="1661"/>
          </w:tcPr>
          <w:p>
            <w:pPr>
              <w:pStyle w:val="null3"/>
              <w:jc w:val="left"/>
            </w:pPr>
            <w:r>
              <w:rPr>
                <w:rFonts w:ascii="仿宋_GB2312" w:hAnsi="仿宋_GB2312" w:cs="仿宋_GB2312" w:eastAsia="仿宋_GB2312"/>
              </w:rPr>
              <w:t xml:space="preserve"> 610000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[350111]FJSXY[CS]2026001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晋安区象园街道乐园社区更新(完整社区)闽台合作“城建城创”策划咨询设计陪护式服务项目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晋安区象园街道乐园社区更新(完整社区)闽台合作“城建城创”策划咨询设计陪护式服务项目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晋安区象园街道乐园社区更新(完整社区)闽台合作“城建城创”策划咨询设计陪护式服务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晋安区象园街道乐园社区更新(完整社区)闽台合作“城建城创”策划咨询设计陪护式服务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610000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